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E754CD" w14:textId="77777777" w:rsidR="003B6177" w:rsidRDefault="003B6177" w:rsidP="00C40C55">
      <w:pPr>
        <w:jc w:val="both"/>
        <w:rPr>
          <w:b/>
          <w:bCs/>
          <w:sz w:val="28"/>
          <w:szCs w:val="28"/>
        </w:rPr>
      </w:pPr>
    </w:p>
    <w:p w14:paraId="447E4623" w14:textId="3C0AD056" w:rsidR="00E23E59" w:rsidRDefault="000934C3" w:rsidP="00C40C55">
      <w:pPr>
        <w:jc w:val="both"/>
        <w:rPr>
          <w:b/>
          <w:bCs/>
          <w:sz w:val="28"/>
          <w:szCs w:val="28"/>
        </w:rPr>
      </w:pPr>
      <w:r>
        <w:rPr>
          <w:b/>
          <w:bCs/>
          <w:noProof/>
          <w:color w:val="800000"/>
        </w:rPr>
        <w:drawing>
          <wp:inline distT="0" distB="0" distL="0" distR="0" wp14:anchorId="6E61FD02" wp14:editId="7D1ECBF1">
            <wp:extent cx="5943600" cy="2275840"/>
            <wp:effectExtent l="0" t="0" r="0" b="0"/>
            <wp:docPr id="7" name="Picture 7"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ompany name&#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2275840"/>
                    </a:xfrm>
                    <a:prstGeom prst="rect">
                      <a:avLst/>
                    </a:prstGeom>
                  </pic:spPr>
                </pic:pic>
              </a:graphicData>
            </a:graphic>
          </wp:inline>
        </w:drawing>
      </w:r>
    </w:p>
    <w:p w14:paraId="5A4BB070" w14:textId="77777777" w:rsidR="00E23E59" w:rsidRDefault="00E23E59" w:rsidP="00C40C55">
      <w:pPr>
        <w:jc w:val="both"/>
        <w:rPr>
          <w:b/>
          <w:bCs/>
          <w:sz w:val="28"/>
          <w:szCs w:val="28"/>
        </w:rPr>
      </w:pPr>
    </w:p>
    <w:p w14:paraId="74D78DF9" w14:textId="77777777" w:rsidR="00E23E59" w:rsidRDefault="00E23E59" w:rsidP="00C40C55">
      <w:pPr>
        <w:jc w:val="both"/>
        <w:rPr>
          <w:b/>
          <w:bCs/>
          <w:sz w:val="28"/>
          <w:szCs w:val="28"/>
        </w:rPr>
      </w:pPr>
    </w:p>
    <w:p w14:paraId="0881401D" w14:textId="77777777" w:rsidR="00E23E59" w:rsidRDefault="00E23E59" w:rsidP="00C40C55">
      <w:pPr>
        <w:jc w:val="both"/>
        <w:rPr>
          <w:b/>
          <w:bCs/>
          <w:sz w:val="28"/>
          <w:szCs w:val="28"/>
        </w:rPr>
      </w:pPr>
    </w:p>
    <w:p w14:paraId="6B8360D1" w14:textId="26151DC1" w:rsidR="00AE14B5" w:rsidRPr="005D4CF6" w:rsidRDefault="00714D77" w:rsidP="00AE14B5">
      <w:pPr>
        <w:jc w:val="right"/>
        <w:rPr>
          <w:rFonts w:cstheme="minorHAnsi"/>
          <w:b/>
          <w:bCs/>
          <w:sz w:val="44"/>
          <w:szCs w:val="44"/>
        </w:rPr>
      </w:pPr>
      <w:r>
        <w:rPr>
          <w:rFonts w:cstheme="minorHAnsi"/>
          <w:b/>
          <w:bCs/>
          <w:sz w:val="44"/>
          <w:szCs w:val="44"/>
        </w:rPr>
        <w:t>Risk Management Assessment</w:t>
      </w:r>
    </w:p>
    <w:p w14:paraId="2A26283D" w14:textId="78493857" w:rsidR="00AE14B5" w:rsidRPr="005D4CF6" w:rsidRDefault="00AE14B5" w:rsidP="00AE14B5">
      <w:pPr>
        <w:jc w:val="right"/>
        <w:rPr>
          <w:rFonts w:cstheme="minorHAnsi"/>
          <w:b/>
          <w:bCs/>
          <w:sz w:val="44"/>
          <w:szCs w:val="44"/>
        </w:rPr>
      </w:pPr>
      <w:r w:rsidRPr="005D4CF6">
        <w:rPr>
          <w:rFonts w:cstheme="minorHAnsi"/>
          <w:b/>
          <w:bCs/>
          <w:sz w:val="44"/>
          <w:szCs w:val="44"/>
        </w:rPr>
        <w:t>202</w:t>
      </w:r>
      <w:r w:rsidR="00CD49D2">
        <w:rPr>
          <w:rFonts w:cstheme="minorHAnsi"/>
          <w:b/>
          <w:bCs/>
          <w:sz w:val="44"/>
          <w:szCs w:val="44"/>
        </w:rPr>
        <w:t>5</w:t>
      </w:r>
    </w:p>
    <w:p w14:paraId="50211383" w14:textId="77777777" w:rsidR="00E23E59" w:rsidRDefault="00E23E59" w:rsidP="00C40C55">
      <w:pPr>
        <w:jc w:val="both"/>
        <w:rPr>
          <w:b/>
          <w:bCs/>
          <w:sz w:val="28"/>
          <w:szCs w:val="28"/>
        </w:rPr>
      </w:pPr>
    </w:p>
    <w:p w14:paraId="3DC77B53" w14:textId="77777777" w:rsidR="00F42B6F" w:rsidRDefault="00F42B6F" w:rsidP="006E5228">
      <w:pPr>
        <w:rPr>
          <w:rFonts w:ascii="Arial" w:hAnsi="Arial" w:cs="Arial"/>
          <w:b/>
          <w:bCs/>
          <w:color w:val="4C0000"/>
          <w:sz w:val="36"/>
          <w:szCs w:val="36"/>
        </w:rPr>
      </w:pPr>
    </w:p>
    <w:p w14:paraId="158F9E0D" w14:textId="77777777" w:rsidR="005836B9" w:rsidRDefault="005836B9" w:rsidP="006E5228">
      <w:pPr>
        <w:rPr>
          <w:rFonts w:ascii="Arial" w:hAnsi="Arial" w:cs="Arial"/>
          <w:b/>
          <w:bCs/>
          <w:color w:val="4C0000"/>
          <w:sz w:val="36"/>
          <w:szCs w:val="36"/>
        </w:rPr>
      </w:pPr>
    </w:p>
    <w:p w14:paraId="35FE8AE8" w14:textId="77777777" w:rsidR="002B0B80" w:rsidRDefault="002B0B80" w:rsidP="006E5228">
      <w:pPr>
        <w:rPr>
          <w:rFonts w:ascii="Arial" w:hAnsi="Arial" w:cs="Arial"/>
          <w:b/>
          <w:bCs/>
          <w:sz w:val="28"/>
          <w:szCs w:val="28"/>
        </w:rPr>
      </w:pPr>
    </w:p>
    <w:p w14:paraId="6D0455EC" w14:textId="2E20A8F5" w:rsidR="006E5228" w:rsidRPr="004C046C" w:rsidRDefault="00F42B6F" w:rsidP="006E5228">
      <w:pPr>
        <w:rPr>
          <w:rFonts w:ascii="Arial" w:hAnsi="Arial" w:cs="Arial"/>
          <w:b/>
          <w:bCs/>
          <w:sz w:val="28"/>
          <w:szCs w:val="28"/>
        </w:rPr>
      </w:pPr>
      <w:r w:rsidRPr="004C046C">
        <w:rPr>
          <w:rFonts w:ascii="Arial" w:hAnsi="Arial" w:cs="Arial"/>
          <w:b/>
          <w:bCs/>
          <w:sz w:val="28"/>
          <w:szCs w:val="28"/>
        </w:rPr>
        <w:lastRenderedPageBreak/>
        <w:t xml:space="preserve">ORDER OF </w:t>
      </w:r>
      <w:r w:rsidR="006E5228" w:rsidRPr="004C046C">
        <w:rPr>
          <w:rFonts w:ascii="Arial" w:hAnsi="Arial" w:cs="Arial"/>
          <w:b/>
          <w:bCs/>
          <w:sz w:val="28"/>
          <w:szCs w:val="28"/>
        </w:rPr>
        <w:t>CONTENTS</w:t>
      </w:r>
    </w:p>
    <w:p w14:paraId="5A613D5D" w14:textId="77777777" w:rsidR="006E5228" w:rsidRPr="004C046C" w:rsidRDefault="006E5228" w:rsidP="006E5228">
      <w:pPr>
        <w:rPr>
          <w:rFonts w:ascii="Arial" w:hAnsi="Arial" w:cs="Arial"/>
          <w:b/>
          <w:bCs/>
        </w:rPr>
      </w:pPr>
      <w:r w:rsidRPr="004C046C">
        <w:rPr>
          <w:rFonts w:ascii="Arial" w:hAnsi="Arial" w:cs="Arial"/>
          <w:b/>
          <w:bCs/>
        </w:rPr>
        <w:tab/>
      </w:r>
    </w:p>
    <w:p w14:paraId="134BC04D" w14:textId="77777777" w:rsidR="00563CD2" w:rsidRDefault="009A4994" w:rsidP="00F42B6F">
      <w:pPr>
        <w:rPr>
          <w:rFonts w:ascii="Arial" w:hAnsi="Arial" w:cs="Arial"/>
          <w:b/>
          <w:bCs/>
        </w:rPr>
      </w:pPr>
      <w:r>
        <w:rPr>
          <w:rFonts w:ascii="Arial" w:hAnsi="Arial" w:cs="Arial"/>
          <w:b/>
          <w:bCs/>
        </w:rPr>
        <w:t>Executive Summary</w:t>
      </w:r>
    </w:p>
    <w:p w14:paraId="0AE8E3BC" w14:textId="058EC285" w:rsidR="00740724" w:rsidRDefault="00740724" w:rsidP="00F42B6F">
      <w:pPr>
        <w:rPr>
          <w:rFonts w:ascii="Arial" w:hAnsi="Arial" w:cs="Arial"/>
          <w:b/>
          <w:bCs/>
        </w:rPr>
      </w:pPr>
      <w:r>
        <w:rPr>
          <w:rFonts w:ascii="Arial" w:hAnsi="Arial" w:cs="Arial"/>
          <w:b/>
          <w:bCs/>
        </w:rPr>
        <w:t xml:space="preserve">The Not-for Profit </w:t>
      </w:r>
      <w:r w:rsidR="009266A2">
        <w:rPr>
          <w:rFonts w:ascii="Arial" w:hAnsi="Arial" w:cs="Arial"/>
          <w:b/>
          <w:bCs/>
        </w:rPr>
        <w:t>Sector</w:t>
      </w:r>
    </w:p>
    <w:p w14:paraId="55DB315E" w14:textId="6C656881" w:rsidR="00F42B6F" w:rsidRDefault="00F165E4" w:rsidP="00F42B6F">
      <w:pPr>
        <w:rPr>
          <w:rFonts w:ascii="Arial" w:hAnsi="Arial" w:cs="Arial"/>
          <w:b/>
          <w:bCs/>
        </w:rPr>
      </w:pPr>
      <w:r>
        <w:rPr>
          <w:rFonts w:ascii="Arial" w:hAnsi="Arial" w:cs="Arial"/>
          <w:b/>
          <w:bCs/>
        </w:rPr>
        <w:t xml:space="preserve">Role of </w:t>
      </w:r>
      <w:r w:rsidR="00662350">
        <w:rPr>
          <w:rFonts w:ascii="Arial" w:hAnsi="Arial" w:cs="Arial"/>
          <w:b/>
          <w:bCs/>
        </w:rPr>
        <w:t>Risk Management Assessment</w:t>
      </w:r>
      <w:r w:rsidR="006E5228" w:rsidRPr="00EB2A52">
        <w:rPr>
          <w:rFonts w:ascii="Arial" w:hAnsi="Arial" w:cs="Arial"/>
          <w:b/>
          <w:bCs/>
        </w:rPr>
        <w:tab/>
      </w:r>
    </w:p>
    <w:p w14:paraId="24606C55" w14:textId="1EA117CA" w:rsidR="00231C9B" w:rsidRDefault="00231C9B" w:rsidP="00F42B6F">
      <w:pPr>
        <w:rPr>
          <w:rFonts w:ascii="Arial" w:hAnsi="Arial" w:cs="Arial"/>
          <w:b/>
          <w:bCs/>
        </w:rPr>
      </w:pPr>
      <w:r>
        <w:rPr>
          <w:rFonts w:ascii="Arial" w:hAnsi="Arial" w:cs="Arial"/>
          <w:b/>
          <w:bCs/>
        </w:rPr>
        <w:t>Risk Management Principles</w:t>
      </w:r>
    </w:p>
    <w:p w14:paraId="7BC9C08A" w14:textId="0C40A8FF" w:rsidR="00A90BCD" w:rsidRDefault="00A90BCD" w:rsidP="00F42B6F">
      <w:pPr>
        <w:rPr>
          <w:rFonts w:ascii="Arial" w:hAnsi="Arial" w:cs="Arial"/>
          <w:b/>
          <w:bCs/>
        </w:rPr>
      </w:pPr>
      <w:r>
        <w:rPr>
          <w:rFonts w:ascii="Arial" w:hAnsi="Arial" w:cs="Arial"/>
          <w:b/>
          <w:bCs/>
        </w:rPr>
        <w:t>Risk Management Categories</w:t>
      </w:r>
    </w:p>
    <w:p w14:paraId="2CDF4CCD" w14:textId="07F3892F" w:rsidR="00F42B6F" w:rsidRDefault="00662350" w:rsidP="00F42B6F">
      <w:pPr>
        <w:rPr>
          <w:rFonts w:ascii="Arial" w:hAnsi="Arial" w:cs="Arial"/>
          <w:b/>
          <w:bCs/>
        </w:rPr>
      </w:pPr>
      <w:r>
        <w:rPr>
          <w:rFonts w:ascii="Arial" w:hAnsi="Arial" w:cs="Arial"/>
          <w:b/>
          <w:bCs/>
        </w:rPr>
        <w:t>Risk Management Tool</w:t>
      </w:r>
    </w:p>
    <w:p w14:paraId="4C327C9A" w14:textId="4F99D422" w:rsidR="00FE0D58" w:rsidRDefault="00FE0D58" w:rsidP="00F42B6F">
      <w:pPr>
        <w:rPr>
          <w:rFonts w:ascii="Arial" w:hAnsi="Arial" w:cs="Arial"/>
          <w:b/>
          <w:bCs/>
        </w:rPr>
      </w:pPr>
      <w:r>
        <w:rPr>
          <w:rFonts w:ascii="Arial" w:hAnsi="Arial" w:cs="Arial"/>
          <w:b/>
          <w:bCs/>
        </w:rPr>
        <w:t xml:space="preserve">Risk Management </w:t>
      </w:r>
      <w:r w:rsidR="00835CB9">
        <w:rPr>
          <w:rFonts w:ascii="Arial" w:hAnsi="Arial" w:cs="Arial"/>
          <w:b/>
          <w:bCs/>
        </w:rPr>
        <w:t>Assessment</w:t>
      </w:r>
    </w:p>
    <w:p w14:paraId="5FDDC997" w14:textId="39276470" w:rsidR="004C046C" w:rsidRDefault="003A4F6D" w:rsidP="004C046C">
      <w:pPr>
        <w:rPr>
          <w:rFonts w:ascii="Arial" w:hAnsi="Arial" w:cs="Arial"/>
        </w:rPr>
      </w:pPr>
      <w:r>
        <w:rPr>
          <w:rFonts w:ascii="Arial" w:hAnsi="Arial" w:cs="Arial"/>
          <w:b/>
          <w:bCs/>
        </w:rPr>
        <w:t>Conclusion</w:t>
      </w:r>
    </w:p>
    <w:p w14:paraId="1CEB85C6" w14:textId="77777777" w:rsidR="002258E6" w:rsidRDefault="002258E6" w:rsidP="00646342">
      <w:pPr>
        <w:rPr>
          <w:b/>
          <w:bCs/>
          <w:sz w:val="28"/>
          <w:szCs w:val="28"/>
        </w:rPr>
      </w:pPr>
    </w:p>
    <w:p w14:paraId="7AB63A53" w14:textId="77777777" w:rsidR="005836B9" w:rsidRDefault="005836B9" w:rsidP="00563CD2">
      <w:pPr>
        <w:rPr>
          <w:b/>
          <w:bCs/>
          <w:sz w:val="28"/>
          <w:szCs w:val="28"/>
        </w:rPr>
      </w:pPr>
    </w:p>
    <w:p w14:paraId="74906565" w14:textId="77777777" w:rsidR="005836B9" w:rsidRDefault="005836B9" w:rsidP="00563CD2">
      <w:pPr>
        <w:rPr>
          <w:b/>
          <w:bCs/>
          <w:sz w:val="28"/>
          <w:szCs w:val="28"/>
        </w:rPr>
      </w:pPr>
    </w:p>
    <w:p w14:paraId="18AC54AC" w14:textId="77777777" w:rsidR="005836B9" w:rsidRDefault="005836B9" w:rsidP="00563CD2">
      <w:pPr>
        <w:rPr>
          <w:b/>
          <w:bCs/>
          <w:sz w:val="28"/>
          <w:szCs w:val="28"/>
        </w:rPr>
      </w:pPr>
    </w:p>
    <w:p w14:paraId="769593F4" w14:textId="77777777" w:rsidR="005836B9" w:rsidRDefault="005836B9" w:rsidP="00563CD2">
      <w:pPr>
        <w:rPr>
          <w:b/>
          <w:bCs/>
          <w:sz w:val="28"/>
          <w:szCs w:val="28"/>
        </w:rPr>
      </w:pPr>
    </w:p>
    <w:p w14:paraId="0D9FC9FB" w14:textId="77777777" w:rsidR="005836B9" w:rsidRDefault="005836B9" w:rsidP="00563CD2">
      <w:pPr>
        <w:rPr>
          <w:b/>
          <w:bCs/>
          <w:sz w:val="28"/>
          <w:szCs w:val="28"/>
        </w:rPr>
      </w:pPr>
    </w:p>
    <w:p w14:paraId="1546A4A6" w14:textId="77777777" w:rsidR="005836B9" w:rsidRDefault="005836B9" w:rsidP="00563CD2">
      <w:pPr>
        <w:rPr>
          <w:b/>
          <w:bCs/>
          <w:sz w:val="28"/>
          <w:szCs w:val="28"/>
        </w:rPr>
      </w:pPr>
    </w:p>
    <w:p w14:paraId="42116222" w14:textId="77777777" w:rsidR="005836B9" w:rsidRDefault="005836B9" w:rsidP="00563CD2">
      <w:pPr>
        <w:rPr>
          <w:b/>
          <w:bCs/>
          <w:sz w:val="28"/>
          <w:szCs w:val="28"/>
        </w:rPr>
      </w:pPr>
    </w:p>
    <w:p w14:paraId="6B5A3E6E" w14:textId="77777777" w:rsidR="005836B9" w:rsidRDefault="005836B9" w:rsidP="00563CD2">
      <w:pPr>
        <w:rPr>
          <w:b/>
          <w:bCs/>
          <w:sz w:val="28"/>
          <w:szCs w:val="28"/>
        </w:rPr>
      </w:pPr>
    </w:p>
    <w:p w14:paraId="7F36C96B" w14:textId="77777777" w:rsidR="005836B9" w:rsidRDefault="005836B9" w:rsidP="00563CD2">
      <w:pPr>
        <w:rPr>
          <w:b/>
          <w:bCs/>
          <w:sz w:val="28"/>
          <w:szCs w:val="28"/>
        </w:rPr>
      </w:pPr>
    </w:p>
    <w:p w14:paraId="4C9EC9E6" w14:textId="7354A702" w:rsidR="00563CD2" w:rsidRPr="004C046C" w:rsidRDefault="00563CD2" w:rsidP="00563CD2">
      <w:pPr>
        <w:rPr>
          <w:rFonts w:ascii="Arial" w:hAnsi="Arial" w:cs="Arial"/>
          <w:b/>
          <w:bCs/>
        </w:rPr>
      </w:pPr>
      <w:r>
        <w:rPr>
          <w:b/>
          <w:bCs/>
          <w:sz w:val="28"/>
          <w:szCs w:val="28"/>
        </w:rPr>
        <w:lastRenderedPageBreak/>
        <w:t>Executive Summary</w:t>
      </w:r>
    </w:p>
    <w:p w14:paraId="02B45799" w14:textId="77777777" w:rsidR="00563CD2" w:rsidRPr="00FE7BD1" w:rsidRDefault="00563CD2" w:rsidP="00563CD2">
      <w:pPr>
        <w:jc w:val="both"/>
        <w:rPr>
          <w:rFonts w:cstheme="minorHAnsi"/>
        </w:rPr>
      </w:pPr>
      <w:r w:rsidRPr="00FE7BD1">
        <w:rPr>
          <w:rFonts w:cstheme="minorHAnsi"/>
        </w:rPr>
        <w:t>The Nova Scotia Federation of Municipalities is a member-based, non-profit organization that advocates on behalf of the province’s 49 municipalities. This includes identifying priorities from a diverse range of local governments by engaging with municipal councils, meeting with senior level officials at the provincial and federal levels to communicate priorities, negotiating opportunities for consultation, and securing the necessary resources to fund municipal services for Nova Scotians.</w:t>
      </w:r>
    </w:p>
    <w:p w14:paraId="5B91304B" w14:textId="60BE535E" w:rsidR="00563CD2" w:rsidRDefault="00563CD2" w:rsidP="00563CD2">
      <w:pPr>
        <w:jc w:val="both"/>
        <w:rPr>
          <w:rFonts w:cstheme="minorHAnsi"/>
        </w:rPr>
      </w:pPr>
      <w:r>
        <w:rPr>
          <w:rFonts w:cstheme="minorHAnsi"/>
        </w:rPr>
        <w:t xml:space="preserve">In the course of its member-driven operations, </w:t>
      </w:r>
      <w:r w:rsidRPr="00FE7BD1">
        <w:rPr>
          <w:rFonts w:cstheme="minorHAnsi"/>
        </w:rPr>
        <w:t xml:space="preserve">NSFM </w:t>
      </w:r>
      <w:r>
        <w:rPr>
          <w:rFonts w:cstheme="minorHAnsi"/>
        </w:rPr>
        <w:t>incurs risk</w:t>
      </w:r>
      <w:r w:rsidR="009B438B">
        <w:rPr>
          <w:rFonts w:cstheme="minorHAnsi"/>
        </w:rPr>
        <w:t xml:space="preserve">. </w:t>
      </w:r>
      <w:r>
        <w:rPr>
          <w:rFonts w:cstheme="minorHAnsi"/>
        </w:rPr>
        <w:t>To be proactive, risk must be evaluated</w:t>
      </w:r>
      <w:r w:rsidR="009B438B">
        <w:rPr>
          <w:rFonts w:cstheme="minorHAnsi"/>
        </w:rPr>
        <w:t xml:space="preserve">. </w:t>
      </w:r>
      <w:r>
        <w:rPr>
          <w:rFonts w:cstheme="minorHAnsi"/>
        </w:rPr>
        <w:t>The Risk Management Assessment provides a framework for identifying, evaluating, quantifying, and managing risk</w:t>
      </w:r>
      <w:r w:rsidR="009B438B">
        <w:rPr>
          <w:rFonts w:cstheme="minorHAnsi"/>
        </w:rPr>
        <w:t xml:space="preserve">. </w:t>
      </w:r>
      <w:r>
        <w:rPr>
          <w:rFonts w:cstheme="minorHAnsi"/>
        </w:rPr>
        <w:t>The management of NSFM commits to conducting this assessment on an annual basis and reporting the results of the assessment to the Board for review.</w:t>
      </w:r>
    </w:p>
    <w:p w14:paraId="1393E8B7" w14:textId="79604D65" w:rsidR="00740724" w:rsidRDefault="009266A2" w:rsidP="00740724">
      <w:pPr>
        <w:rPr>
          <w:b/>
          <w:bCs/>
          <w:sz w:val="28"/>
          <w:szCs w:val="28"/>
        </w:rPr>
      </w:pPr>
      <w:r>
        <w:rPr>
          <w:b/>
          <w:bCs/>
          <w:sz w:val="28"/>
          <w:szCs w:val="28"/>
        </w:rPr>
        <w:t>The Not-for-Profit Sector</w:t>
      </w:r>
    </w:p>
    <w:p w14:paraId="3CA43142" w14:textId="77B565E8" w:rsidR="00810AF0" w:rsidRPr="00EA2099" w:rsidRDefault="00810AF0" w:rsidP="00EA2099">
      <w:pPr>
        <w:rPr>
          <w:rFonts w:cstheme="minorHAnsi"/>
        </w:rPr>
      </w:pPr>
      <w:r w:rsidRPr="00EA2099">
        <w:rPr>
          <w:rFonts w:cstheme="minorHAnsi"/>
        </w:rPr>
        <w:t>Six Strengths of the Not-for-Profit S</w:t>
      </w:r>
      <w:r w:rsidR="00EA2099" w:rsidRPr="00EA2099">
        <w:rPr>
          <w:rFonts w:cstheme="minorHAnsi"/>
        </w:rPr>
        <w:t>e</w:t>
      </w:r>
      <w:r w:rsidRPr="00EA2099">
        <w:rPr>
          <w:rFonts w:cstheme="minorHAnsi"/>
        </w:rPr>
        <w:t>ctor</w:t>
      </w:r>
    </w:p>
    <w:p w14:paraId="77368B18" w14:textId="7D2A6B4D" w:rsidR="00810AF0" w:rsidRPr="00810AF0" w:rsidRDefault="00810AF0" w:rsidP="00810AF0">
      <w:pPr>
        <w:pStyle w:val="ListParagraph"/>
        <w:numPr>
          <w:ilvl w:val="0"/>
          <w:numId w:val="21"/>
        </w:numPr>
        <w:rPr>
          <w:rFonts w:cstheme="minorHAnsi"/>
        </w:rPr>
      </w:pPr>
      <w:r w:rsidRPr="00810AF0">
        <w:rPr>
          <w:rFonts w:cstheme="minorHAnsi"/>
        </w:rPr>
        <w:t xml:space="preserve">Able </w:t>
      </w:r>
      <w:r w:rsidR="005335FB">
        <w:rPr>
          <w:rFonts w:cstheme="minorHAnsi"/>
        </w:rPr>
        <w:t>t</w:t>
      </w:r>
      <w:r w:rsidRPr="00810AF0">
        <w:rPr>
          <w:rFonts w:cstheme="minorHAnsi"/>
        </w:rPr>
        <w:t>o mobilize and inspire others</w:t>
      </w:r>
    </w:p>
    <w:p w14:paraId="02831C6C" w14:textId="77777777" w:rsidR="00810AF0" w:rsidRPr="00810AF0" w:rsidRDefault="00810AF0" w:rsidP="00810AF0">
      <w:pPr>
        <w:pStyle w:val="ListParagraph"/>
        <w:numPr>
          <w:ilvl w:val="0"/>
          <w:numId w:val="21"/>
        </w:numPr>
        <w:rPr>
          <w:rFonts w:cstheme="minorHAnsi"/>
        </w:rPr>
      </w:pPr>
      <w:r w:rsidRPr="00810AF0">
        <w:rPr>
          <w:rFonts w:cstheme="minorHAnsi"/>
        </w:rPr>
        <w:t>Agility</w:t>
      </w:r>
    </w:p>
    <w:p w14:paraId="7AE602B8" w14:textId="77777777" w:rsidR="00810AF0" w:rsidRPr="00810AF0" w:rsidRDefault="00810AF0" w:rsidP="00810AF0">
      <w:pPr>
        <w:pStyle w:val="ListParagraph"/>
        <w:numPr>
          <w:ilvl w:val="0"/>
          <w:numId w:val="21"/>
        </w:numPr>
        <w:rPr>
          <w:rFonts w:cstheme="minorHAnsi"/>
        </w:rPr>
      </w:pPr>
      <w:r w:rsidRPr="00810AF0">
        <w:rPr>
          <w:rFonts w:cstheme="minorHAnsi"/>
        </w:rPr>
        <w:t>Continuously listen and improve</w:t>
      </w:r>
    </w:p>
    <w:p w14:paraId="6503427B" w14:textId="77777777" w:rsidR="00810AF0" w:rsidRPr="00810AF0" w:rsidRDefault="00810AF0" w:rsidP="00810AF0">
      <w:pPr>
        <w:pStyle w:val="ListParagraph"/>
        <w:numPr>
          <w:ilvl w:val="0"/>
          <w:numId w:val="21"/>
        </w:numPr>
        <w:rPr>
          <w:rFonts w:cstheme="minorHAnsi"/>
        </w:rPr>
      </w:pPr>
      <w:r w:rsidRPr="00810AF0">
        <w:rPr>
          <w:rFonts w:cstheme="minorHAnsi"/>
        </w:rPr>
        <w:t>Develop diverse funding sources</w:t>
      </w:r>
    </w:p>
    <w:p w14:paraId="491A6058" w14:textId="77777777" w:rsidR="00810AF0" w:rsidRPr="00810AF0" w:rsidRDefault="00810AF0" w:rsidP="00810AF0">
      <w:pPr>
        <w:pStyle w:val="ListParagraph"/>
        <w:numPr>
          <w:ilvl w:val="0"/>
          <w:numId w:val="21"/>
        </w:numPr>
        <w:rPr>
          <w:rFonts w:cstheme="minorHAnsi"/>
        </w:rPr>
      </w:pPr>
      <w:r w:rsidRPr="00810AF0">
        <w:rPr>
          <w:rFonts w:cstheme="minorHAnsi"/>
        </w:rPr>
        <w:t>Digitally-savvy</w:t>
      </w:r>
    </w:p>
    <w:p w14:paraId="13EEECE2" w14:textId="77777777" w:rsidR="00810AF0" w:rsidRPr="00810AF0" w:rsidRDefault="00810AF0" w:rsidP="00810AF0">
      <w:pPr>
        <w:pStyle w:val="ListParagraph"/>
        <w:numPr>
          <w:ilvl w:val="0"/>
          <w:numId w:val="21"/>
        </w:numPr>
        <w:rPr>
          <w:rFonts w:cstheme="minorHAnsi"/>
        </w:rPr>
      </w:pPr>
      <w:r w:rsidRPr="00810AF0">
        <w:rPr>
          <w:rFonts w:cstheme="minorHAnsi"/>
        </w:rPr>
        <w:t>Focused on Mission</w:t>
      </w:r>
    </w:p>
    <w:p w14:paraId="0069140C" w14:textId="1F932DDB" w:rsidR="00EA2099" w:rsidRPr="00FD2AA1" w:rsidRDefault="00EA2099" w:rsidP="00EA2099">
      <w:pPr>
        <w:rPr>
          <w:rFonts w:cstheme="minorHAnsi"/>
        </w:rPr>
      </w:pPr>
      <w:r w:rsidRPr="00FD2AA1">
        <w:rPr>
          <w:rFonts w:cstheme="minorHAnsi"/>
        </w:rPr>
        <w:t>Eight Risks of the Not-for-Profit Sector</w:t>
      </w:r>
    </w:p>
    <w:p w14:paraId="4EED2D21" w14:textId="35716054"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Compliance Risk – risk of </w:t>
      </w:r>
      <w:r w:rsidRPr="00FD2AA1">
        <w:rPr>
          <w:rFonts w:eastAsia="Times New Roman" w:cstheme="minorHAnsi"/>
          <w:color w:val="414042"/>
        </w:rPr>
        <w:t>fines or other regulatory penalties for offences such as the failure to remit payroll taxes or violation of privacy laws. It might include management of restrictions of funds from donations or other funding agencies</w:t>
      </w:r>
    </w:p>
    <w:p w14:paraId="7BE92B6B" w14:textId="598954D9"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External Risk - </w:t>
      </w:r>
      <w:r w:rsidRPr="00FD2AA1">
        <w:rPr>
          <w:rFonts w:eastAsia="Times New Roman" w:cstheme="minorHAnsi"/>
          <w:color w:val="414042"/>
        </w:rPr>
        <w:t>risk of becoming irrelevant or losing support of the members, failure to respond to changing economic demographics or other trends</w:t>
      </w:r>
    </w:p>
    <w:p w14:paraId="3B339F4F" w14:textId="6F43A22C"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Financial Risk - </w:t>
      </w:r>
      <w:r w:rsidRPr="00FD2AA1">
        <w:rPr>
          <w:rFonts w:eastAsia="Times New Roman" w:cstheme="minorHAnsi"/>
          <w:color w:val="414042"/>
        </w:rPr>
        <w:t>risk of fraud</w:t>
      </w:r>
      <w:r w:rsidR="00772899">
        <w:rPr>
          <w:rFonts w:eastAsia="Times New Roman" w:cstheme="minorHAnsi"/>
          <w:color w:val="414042"/>
        </w:rPr>
        <w:t xml:space="preserve">, </w:t>
      </w:r>
      <w:r w:rsidRPr="00FD2AA1">
        <w:rPr>
          <w:rFonts w:eastAsia="Times New Roman" w:cstheme="minorHAnsi"/>
          <w:color w:val="414042"/>
        </w:rPr>
        <w:t>financial failure</w:t>
      </w:r>
      <w:r w:rsidR="00772899">
        <w:rPr>
          <w:rFonts w:eastAsia="Times New Roman" w:cstheme="minorHAnsi"/>
          <w:color w:val="414042"/>
        </w:rPr>
        <w:t>,</w:t>
      </w:r>
      <w:r w:rsidRPr="00FD2AA1">
        <w:rPr>
          <w:rFonts w:eastAsia="Times New Roman" w:cstheme="minorHAnsi"/>
          <w:color w:val="414042"/>
        </w:rPr>
        <w:t xml:space="preserve"> or making decisions based on inaccurate or inadequate information</w:t>
      </w:r>
    </w:p>
    <w:p w14:paraId="467361DB" w14:textId="165DA4C4"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Governance Risk - </w:t>
      </w:r>
      <w:r w:rsidRPr="00FD2AA1">
        <w:rPr>
          <w:rFonts w:eastAsia="Times New Roman" w:cstheme="minorHAnsi"/>
          <w:color w:val="414042"/>
        </w:rPr>
        <w:t>ineffective oversight of management, poor management decision making</w:t>
      </w:r>
      <w:r w:rsidR="002B1E80">
        <w:rPr>
          <w:rFonts w:eastAsia="Times New Roman" w:cstheme="minorHAnsi"/>
          <w:color w:val="414042"/>
        </w:rPr>
        <w:t>,</w:t>
      </w:r>
      <w:r w:rsidRPr="00FD2AA1">
        <w:rPr>
          <w:rFonts w:eastAsia="Times New Roman" w:cstheme="minorHAnsi"/>
          <w:color w:val="414042"/>
        </w:rPr>
        <w:t xml:space="preserve"> or a weak board of directors</w:t>
      </w:r>
    </w:p>
    <w:p w14:paraId="537DE553" w14:textId="6A03672A"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IT Risk - </w:t>
      </w:r>
      <w:r w:rsidRPr="00FD2AA1">
        <w:rPr>
          <w:rFonts w:eastAsia="Times New Roman" w:cstheme="minorHAnsi"/>
          <w:color w:val="414042"/>
        </w:rPr>
        <w:t xml:space="preserve">technology chosen is not accurate, dependable, or secure </w:t>
      </w:r>
    </w:p>
    <w:p w14:paraId="1FD38808" w14:textId="7BDBAC64"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Operational/Program Risk - </w:t>
      </w:r>
      <w:r w:rsidRPr="00FD2AA1">
        <w:rPr>
          <w:rFonts w:eastAsia="Times New Roman" w:cstheme="minorHAnsi"/>
          <w:color w:val="414042"/>
        </w:rPr>
        <w:t xml:space="preserve">poor service delivery, reoccurring day to day crisis, staffing issues, </w:t>
      </w:r>
      <w:r w:rsidR="0063275E">
        <w:rPr>
          <w:rFonts w:eastAsia="Times New Roman" w:cstheme="minorHAnsi"/>
          <w:color w:val="414042"/>
        </w:rPr>
        <w:t xml:space="preserve">or </w:t>
      </w:r>
      <w:r w:rsidRPr="00FD2AA1">
        <w:rPr>
          <w:rFonts w:eastAsia="Times New Roman" w:cstheme="minorHAnsi"/>
          <w:color w:val="414042"/>
        </w:rPr>
        <w:t>program failure</w:t>
      </w:r>
    </w:p>
    <w:p w14:paraId="11165D72" w14:textId="77777777"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Reputational Risk – </w:t>
      </w:r>
      <w:r w:rsidRPr="00FD2AA1">
        <w:rPr>
          <w:rFonts w:eastAsia="Times New Roman" w:cstheme="minorHAnsi"/>
          <w:color w:val="414042"/>
        </w:rPr>
        <w:t>loss of status or credibility in the community</w:t>
      </w:r>
    </w:p>
    <w:p w14:paraId="220B9D48" w14:textId="56105D80" w:rsidR="00FD2AA1" w:rsidRPr="00FD2AA1" w:rsidRDefault="00FD2AA1" w:rsidP="00FD2AA1">
      <w:pPr>
        <w:pStyle w:val="ListParagraph"/>
        <w:numPr>
          <w:ilvl w:val="0"/>
          <w:numId w:val="40"/>
        </w:numPr>
        <w:spacing w:before="100" w:beforeAutospacing="1" w:after="100" w:afterAutospacing="1" w:line="240" w:lineRule="auto"/>
        <w:contextualSpacing w:val="0"/>
        <w:textAlignment w:val="baseline"/>
        <w:outlineLvl w:val="1"/>
        <w:rPr>
          <w:rFonts w:eastAsia="Times New Roman" w:cstheme="minorHAnsi"/>
          <w:color w:val="000000"/>
        </w:rPr>
      </w:pPr>
      <w:r w:rsidRPr="00FD2AA1">
        <w:rPr>
          <w:rFonts w:eastAsia="Times New Roman" w:cstheme="minorHAnsi"/>
          <w:color w:val="000000"/>
        </w:rPr>
        <w:t xml:space="preserve">Strategic Risks - </w:t>
      </w:r>
      <w:r w:rsidRPr="00FD2AA1">
        <w:rPr>
          <w:rFonts w:eastAsia="Times New Roman" w:cstheme="minorHAnsi"/>
          <w:color w:val="414042"/>
        </w:rPr>
        <w:t>risk of continuation or development of inappropriate programs and initiatives; failure to keep the organization strong and relevant</w:t>
      </w:r>
    </w:p>
    <w:p w14:paraId="4E134590" w14:textId="4EFCB2FA" w:rsidR="00646342" w:rsidRDefault="00646342" w:rsidP="00740724">
      <w:pPr>
        <w:rPr>
          <w:b/>
          <w:bCs/>
          <w:sz w:val="28"/>
          <w:szCs w:val="28"/>
        </w:rPr>
      </w:pPr>
      <w:r>
        <w:rPr>
          <w:b/>
          <w:bCs/>
          <w:sz w:val="28"/>
          <w:szCs w:val="28"/>
        </w:rPr>
        <w:lastRenderedPageBreak/>
        <w:t xml:space="preserve">Role of </w:t>
      </w:r>
      <w:r w:rsidR="00662350">
        <w:rPr>
          <w:b/>
          <w:bCs/>
          <w:sz w:val="28"/>
          <w:szCs w:val="28"/>
        </w:rPr>
        <w:t>Risk Management Assessment</w:t>
      </w:r>
    </w:p>
    <w:p w14:paraId="7FB02DAB" w14:textId="77777777" w:rsidR="00A70EB3" w:rsidRDefault="00A70EB3" w:rsidP="00B61DD8">
      <w:pPr>
        <w:pStyle w:val="ListParagraph"/>
        <w:numPr>
          <w:ilvl w:val="0"/>
          <w:numId w:val="21"/>
        </w:numPr>
        <w:rPr>
          <w:rFonts w:cstheme="minorHAnsi"/>
        </w:rPr>
      </w:pPr>
      <w:r>
        <w:rPr>
          <w:rFonts w:cstheme="minorHAnsi"/>
        </w:rPr>
        <w:t xml:space="preserve">Assists with the development of policy and business decisions </w:t>
      </w:r>
    </w:p>
    <w:p w14:paraId="24D5029E" w14:textId="0D069140" w:rsidR="00A70EB3" w:rsidRDefault="00A70EB3" w:rsidP="00B61DD8">
      <w:pPr>
        <w:pStyle w:val="ListParagraph"/>
        <w:numPr>
          <w:ilvl w:val="0"/>
          <w:numId w:val="21"/>
        </w:numPr>
        <w:rPr>
          <w:rFonts w:cstheme="minorHAnsi"/>
        </w:rPr>
      </w:pPr>
      <w:r>
        <w:rPr>
          <w:rFonts w:cstheme="minorHAnsi"/>
        </w:rPr>
        <w:t>Enables the organization to identify and address its risks</w:t>
      </w:r>
    </w:p>
    <w:p w14:paraId="1AD226DE" w14:textId="77777777" w:rsidR="00A70EB3" w:rsidRPr="00B61DD8" w:rsidRDefault="00A70EB3" w:rsidP="00B61DD8">
      <w:pPr>
        <w:pStyle w:val="ListParagraph"/>
        <w:numPr>
          <w:ilvl w:val="0"/>
          <w:numId w:val="21"/>
        </w:numPr>
        <w:rPr>
          <w:rFonts w:cstheme="minorHAnsi"/>
        </w:rPr>
      </w:pPr>
      <w:r>
        <w:rPr>
          <w:rFonts w:cstheme="minorHAnsi"/>
        </w:rPr>
        <w:t>Ensures a consistent approach for considering, evaluating, and managing risk</w:t>
      </w:r>
    </w:p>
    <w:p w14:paraId="0B29C05C" w14:textId="77777777" w:rsidR="00A70EB3" w:rsidRDefault="00A70EB3" w:rsidP="00B61DD8">
      <w:pPr>
        <w:pStyle w:val="ListParagraph"/>
        <w:numPr>
          <w:ilvl w:val="0"/>
          <w:numId w:val="21"/>
        </w:numPr>
        <w:rPr>
          <w:rFonts w:cstheme="minorHAnsi"/>
        </w:rPr>
      </w:pPr>
      <w:r>
        <w:rPr>
          <w:rFonts w:cstheme="minorHAnsi"/>
        </w:rPr>
        <w:t>Safeguards the resources of the organization</w:t>
      </w:r>
    </w:p>
    <w:p w14:paraId="5BC53541" w14:textId="77777777" w:rsidR="00A70EB3" w:rsidRDefault="00A70EB3" w:rsidP="00B61DD8">
      <w:pPr>
        <w:pStyle w:val="ListParagraph"/>
        <w:numPr>
          <w:ilvl w:val="0"/>
          <w:numId w:val="21"/>
        </w:numPr>
        <w:rPr>
          <w:rFonts w:cstheme="minorHAnsi"/>
        </w:rPr>
      </w:pPr>
      <w:r>
        <w:rPr>
          <w:rFonts w:cstheme="minorHAnsi"/>
        </w:rPr>
        <w:t>Supports the organization’s governance and management by incorporating risk management principles into business processes</w:t>
      </w:r>
    </w:p>
    <w:p w14:paraId="5792B93F" w14:textId="48CADD2C" w:rsidR="00231C9B" w:rsidRPr="004C046C" w:rsidRDefault="00924348" w:rsidP="00231C9B">
      <w:pPr>
        <w:rPr>
          <w:rFonts w:ascii="Arial" w:hAnsi="Arial" w:cs="Arial"/>
          <w:b/>
          <w:bCs/>
        </w:rPr>
      </w:pPr>
      <w:r>
        <w:rPr>
          <w:b/>
          <w:bCs/>
          <w:sz w:val="28"/>
          <w:szCs w:val="28"/>
        </w:rPr>
        <w:t>Risk Management Principles</w:t>
      </w:r>
    </w:p>
    <w:p w14:paraId="3F93C2A9" w14:textId="77777777" w:rsidR="009607CD" w:rsidRDefault="009607CD" w:rsidP="009607CD">
      <w:pPr>
        <w:pStyle w:val="ListParagraph"/>
        <w:numPr>
          <w:ilvl w:val="0"/>
          <w:numId w:val="34"/>
        </w:numPr>
        <w:rPr>
          <w:rFonts w:cstheme="minorHAnsi"/>
        </w:rPr>
      </w:pPr>
      <w:r w:rsidRPr="00487C62">
        <w:rPr>
          <w:rFonts w:cstheme="minorHAnsi"/>
        </w:rPr>
        <w:t>Align risk management with the mission and values of the organization</w:t>
      </w:r>
    </w:p>
    <w:p w14:paraId="229FAD3B" w14:textId="77777777" w:rsidR="009607CD" w:rsidRPr="00F47424" w:rsidRDefault="009607CD" w:rsidP="00F47424">
      <w:pPr>
        <w:pStyle w:val="ListParagraph"/>
        <w:numPr>
          <w:ilvl w:val="0"/>
          <w:numId w:val="34"/>
        </w:numPr>
        <w:rPr>
          <w:rFonts w:cstheme="minorHAnsi"/>
        </w:rPr>
      </w:pPr>
      <w:r w:rsidRPr="00F47424">
        <w:rPr>
          <w:rFonts w:cstheme="minorHAnsi"/>
        </w:rPr>
        <w:t xml:space="preserve">Create an environment where all stakeholders are engaged in identifying and mitigating risk </w:t>
      </w:r>
    </w:p>
    <w:p w14:paraId="62C5701F" w14:textId="77777777" w:rsidR="009607CD" w:rsidRDefault="009607CD" w:rsidP="009A4994">
      <w:pPr>
        <w:pStyle w:val="ListParagraph"/>
        <w:numPr>
          <w:ilvl w:val="0"/>
          <w:numId w:val="34"/>
        </w:numPr>
        <w:rPr>
          <w:rFonts w:cstheme="minorHAnsi"/>
        </w:rPr>
      </w:pPr>
      <w:r>
        <w:rPr>
          <w:rFonts w:cstheme="minorHAnsi"/>
        </w:rPr>
        <w:t>Create and enhance a culture of risk management</w:t>
      </w:r>
    </w:p>
    <w:p w14:paraId="4B6B3E3C" w14:textId="77777777" w:rsidR="009607CD" w:rsidRPr="009607CD" w:rsidRDefault="009607CD" w:rsidP="009607CD">
      <w:pPr>
        <w:pStyle w:val="ListParagraph"/>
        <w:numPr>
          <w:ilvl w:val="0"/>
          <w:numId w:val="34"/>
        </w:numPr>
        <w:rPr>
          <w:rFonts w:cstheme="minorHAnsi"/>
        </w:rPr>
      </w:pPr>
      <w:r w:rsidRPr="00487C62">
        <w:rPr>
          <w:rFonts w:cstheme="minorHAnsi"/>
        </w:rPr>
        <w:t>Ensure legal, ethical, and contract compliance</w:t>
      </w:r>
    </w:p>
    <w:p w14:paraId="6C3F6FFE" w14:textId="77777777" w:rsidR="009607CD" w:rsidRDefault="009607CD" w:rsidP="009A4994">
      <w:pPr>
        <w:pStyle w:val="ListParagraph"/>
        <w:numPr>
          <w:ilvl w:val="0"/>
          <w:numId w:val="34"/>
        </w:numPr>
        <w:rPr>
          <w:rFonts w:cstheme="minorHAnsi"/>
        </w:rPr>
      </w:pPr>
      <w:r>
        <w:rPr>
          <w:rFonts w:cstheme="minorHAnsi"/>
        </w:rPr>
        <w:t>Guide risk to a point where it can be effectively managed</w:t>
      </w:r>
    </w:p>
    <w:p w14:paraId="58B84833" w14:textId="77777777" w:rsidR="009607CD" w:rsidRDefault="009607CD" w:rsidP="009A4994">
      <w:pPr>
        <w:pStyle w:val="ListParagraph"/>
        <w:numPr>
          <w:ilvl w:val="0"/>
          <w:numId w:val="34"/>
        </w:numPr>
        <w:rPr>
          <w:rFonts w:cstheme="minorHAnsi"/>
        </w:rPr>
      </w:pPr>
      <w:r>
        <w:rPr>
          <w:rFonts w:cstheme="minorHAnsi"/>
        </w:rPr>
        <w:t>Improve outcomes through informed decision making</w:t>
      </w:r>
    </w:p>
    <w:p w14:paraId="30B6C025" w14:textId="77777777" w:rsidR="009607CD" w:rsidRDefault="009607CD" w:rsidP="009A4994">
      <w:pPr>
        <w:pStyle w:val="ListParagraph"/>
        <w:numPr>
          <w:ilvl w:val="0"/>
          <w:numId w:val="34"/>
        </w:numPr>
        <w:rPr>
          <w:rFonts w:cstheme="minorHAnsi"/>
        </w:rPr>
      </w:pPr>
      <w:r>
        <w:rPr>
          <w:rFonts w:cstheme="minorHAnsi"/>
        </w:rPr>
        <w:t>Incorporate transparency and accountability within the operations of the organization</w:t>
      </w:r>
    </w:p>
    <w:p w14:paraId="6DF60954" w14:textId="77777777" w:rsidR="009607CD" w:rsidRDefault="009607CD" w:rsidP="00E53810">
      <w:pPr>
        <w:pStyle w:val="ListParagraph"/>
        <w:numPr>
          <w:ilvl w:val="0"/>
          <w:numId w:val="34"/>
        </w:numPr>
        <w:rPr>
          <w:rFonts w:cstheme="minorHAnsi"/>
        </w:rPr>
      </w:pPr>
      <w:r>
        <w:rPr>
          <w:rFonts w:cstheme="minorHAnsi"/>
        </w:rPr>
        <w:t>Inform business continuity planning</w:t>
      </w:r>
    </w:p>
    <w:p w14:paraId="0C572D59" w14:textId="05BF2D12" w:rsidR="00E53810" w:rsidRPr="00E53810" w:rsidRDefault="00E53810" w:rsidP="00E53810">
      <w:pPr>
        <w:rPr>
          <w:rFonts w:cstheme="minorHAnsi"/>
        </w:rPr>
      </w:pPr>
      <w:r w:rsidRPr="00E53810">
        <w:rPr>
          <w:b/>
          <w:bCs/>
          <w:sz w:val="28"/>
          <w:szCs w:val="28"/>
        </w:rPr>
        <w:t xml:space="preserve">Risk Management </w:t>
      </w:r>
      <w:r>
        <w:rPr>
          <w:b/>
          <w:bCs/>
          <w:sz w:val="28"/>
          <w:szCs w:val="28"/>
        </w:rPr>
        <w:t>Categories</w:t>
      </w:r>
    </w:p>
    <w:p w14:paraId="3B786B37" w14:textId="28AE0ABC" w:rsidR="00E53810" w:rsidRDefault="00E53810" w:rsidP="00E53810">
      <w:pPr>
        <w:rPr>
          <w:rFonts w:cstheme="minorHAnsi"/>
        </w:rPr>
      </w:pPr>
      <w:r>
        <w:rPr>
          <w:rFonts w:cstheme="minorHAnsi"/>
        </w:rPr>
        <w:t xml:space="preserve">The identified categories of risk </w:t>
      </w:r>
      <w:r w:rsidR="007D6290">
        <w:rPr>
          <w:rFonts w:cstheme="minorHAnsi"/>
        </w:rPr>
        <w:t xml:space="preserve">for NSFM </w:t>
      </w:r>
      <w:r>
        <w:rPr>
          <w:rFonts w:cstheme="minorHAnsi"/>
        </w:rPr>
        <w:t>are:</w:t>
      </w:r>
    </w:p>
    <w:p w14:paraId="4292D9E0" w14:textId="2022A015" w:rsidR="003B3F9D" w:rsidRDefault="003B3F9D" w:rsidP="003B3F9D">
      <w:pPr>
        <w:pStyle w:val="ListParagraph"/>
        <w:numPr>
          <w:ilvl w:val="0"/>
          <w:numId w:val="35"/>
        </w:numPr>
        <w:rPr>
          <w:rFonts w:cstheme="minorHAnsi"/>
        </w:rPr>
      </w:pPr>
      <w:r w:rsidRPr="003B3F9D">
        <w:rPr>
          <w:rFonts w:cstheme="minorHAnsi"/>
        </w:rPr>
        <w:t>Conference</w:t>
      </w:r>
      <w:r w:rsidR="004B171D">
        <w:rPr>
          <w:rFonts w:cstheme="minorHAnsi"/>
        </w:rPr>
        <w:t xml:space="preserve"> &amp; </w:t>
      </w:r>
      <w:r w:rsidRPr="003B3F9D">
        <w:rPr>
          <w:rFonts w:cstheme="minorHAnsi"/>
        </w:rPr>
        <w:t>Events Program</w:t>
      </w:r>
    </w:p>
    <w:p w14:paraId="6B716867" w14:textId="621003B9" w:rsidR="00DB2ED5" w:rsidRPr="003B3F9D" w:rsidRDefault="00DB2ED5" w:rsidP="003B3F9D">
      <w:pPr>
        <w:pStyle w:val="ListParagraph"/>
        <w:numPr>
          <w:ilvl w:val="0"/>
          <w:numId w:val="35"/>
        </w:numPr>
        <w:rPr>
          <w:rFonts w:cstheme="minorHAnsi"/>
        </w:rPr>
      </w:pPr>
      <w:r>
        <w:rPr>
          <w:rFonts w:cstheme="minorHAnsi"/>
        </w:rPr>
        <w:t>Finance</w:t>
      </w:r>
    </w:p>
    <w:p w14:paraId="74415C11" w14:textId="77777777" w:rsidR="003B3F9D" w:rsidRPr="003B3F9D" w:rsidRDefault="003B3F9D" w:rsidP="003B3F9D">
      <w:pPr>
        <w:pStyle w:val="ListParagraph"/>
        <w:numPr>
          <w:ilvl w:val="0"/>
          <w:numId w:val="35"/>
        </w:numPr>
        <w:rPr>
          <w:rFonts w:cstheme="minorHAnsi"/>
        </w:rPr>
      </w:pPr>
      <w:r w:rsidRPr="003B3F9D">
        <w:rPr>
          <w:rFonts w:cstheme="minorHAnsi"/>
        </w:rPr>
        <w:t>Governance</w:t>
      </w:r>
    </w:p>
    <w:p w14:paraId="0A75DD8F" w14:textId="77777777" w:rsidR="003B3F9D" w:rsidRPr="003B3F9D" w:rsidRDefault="003B3F9D" w:rsidP="003B3F9D">
      <w:pPr>
        <w:pStyle w:val="ListParagraph"/>
        <w:numPr>
          <w:ilvl w:val="0"/>
          <w:numId w:val="35"/>
        </w:numPr>
        <w:rPr>
          <w:rFonts w:cstheme="minorHAnsi"/>
        </w:rPr>
      </w:pPr>
      <w:r w:rsidRPr="003B3F9D">
        <w:rPr>
          <w:rFonts w:cstheme="minorHAnsi"/>
        </w:rPr>
        <w:t>Health &amp; Safety</w:t>
      </w:r>
    </w:p>
    <w:p w14:paraId="66C16148" w14:textId="77777777" w:rsidR="003B3F9D" w:rsidRPr="003B3F9D" w:rsidRDefault="003B3F9D" w:rsidP="003B3F9D">
      <w:pPr>
        <w:pStyle w:val="ListParagraph"/>
        <w:numPr>
          <w:ilvl w:val="0"/>
          <w:numId w:val="35"/>
        </w:numPr>
        <w:rPr>
          <w:rFonts w:cstheme="minorHAnsi"/>
        </w:rPr>
      </w:pPr>
      <w:r w:rsidRPr="003B3F9D">
        <w:rPr>
          <w:rFonts w:cstheme="minorHAnsi"/>
        </w:rPr>
        <w:t>Operations</w:t>
      </w:r>
    </w:p>
    <w:p w14:paraId="23BDF90D" w14:textId="77777777" w:rsidR="003B3F9D" w:rsidRPr="003B3F9D" w:rsidRDefault="003B3F9D" w:rsidP="003B3F9D">
      <w:pPr>
        <w:pStyle w:val="ListParagraph"/>
        <w:numPr>
          <w:ilvl w:val="0"/>
          <w:numId w:val="35"/>
        </w:numPr>
        <w:rPr>
          <w:rFonts w:cstheme="minorHAnsi"/>
        </w:rPr>
      </w:pPr>
      <w:r w:rsidRPr="003B3F9D">
        <w:rPr>
          <w:rFonts w:cstheme="minorHAnsi"/>
        </w:rPr>
        <w:t>Programs &amp; Services</w:t>
      </w:r>
    </w:p>
    <w:p w14:paraId="74776036" w14:textId="6FD3BF69" w:rsidR="003B3F9D" w:rsidRPr="002E39E9" w:rsidRDefault="003B3F9D" w:rsidP="00E53810">
      <w:pPr>
        <w:pStyle w:val="ListParagraph"/>
        <w:numPr>
          <w:ilvl w:val="0"/>
          <w:numId w:val="35"/>
        </w:numPr>
        <w:rPr>
          <w:rFonts w:cstheme="minorHAnsi"/>
        </w:rPr>
      </w:pPr>
      <w:r w:rsidRPr="003B3F9D">
        <w:rPr>
          <w:rFonts w:cstheme="minorHAnsi"/>
        </w:rPr>
        <w:t>Reputation</w:t>
      </w:r>
    </w:p>
    <w:p w14:paraId="00D4E922" w14:textId="77777777" w:rsidR="004B47D0" w:rsidRDefault="004B47D0" w:rsidP="00E53810">
      <w:pPr>
        <w:rPr>
          <w:b/>
          <w:bCs/>
          <w:sz w:val="28"/>
          <w:szCs w:val="28"/>
        </w:rPr>
      </w:pPr>
    </w:p>
    <w:p w14:paraId="436561A5" w14:textId="77777777" w:rsidR="004B47D0" w:rsidRDefault="004B47D0" w:rsidP="00E53810">
      <w:pPr>
        <w:rPr>
          <w:b/>
          <w:bCs/>
          <w:sz w:val="28"/>
          <w:szCs w:val="28"/>
        </w:rPr>
      </w:pPr>
    </w:p>
    <w:p w14:paraId="40F006FF" w14:textId="030073C1" w:rsidR="00247171" w:rsidRDefault="00247171" w:rsidP="00E53810">
      <w:pPr>
        <w:rPr>
          <w:b/>
          <w:bCs/>
          <w:sz w:val="28"/>
          <w:szCs w:val="28"/>
        </w:rPr>
      </w:pPr>
      <w:r w:rsidRPr="00E53810">
        <w:rPr>
          <w:b/>
          <w:bCs/>
          <w:sz w:val="28"/>
          <w:szCs w:val="28"/>
        </w:rPr>
        <w:lastRenderedPageBreak/>
        <w:t>Risk Management Tool</w:t>
      </w:r>
    </w:p>
    <w:p w14:paraId="15914147" w14:textId="7EC97FD2" w:rsidR="00AA3DBB" w:rsidRPr="00894277" w:rsidRDefault="00AA3DBB" w:rsidP="00AA3DBB">
      <w:pPr>
        <w:rPr>
          <w:rFonts w:cstheme="minorHAnsi"/>
          <w:b/>
          <w:bCs/>
        </w:rPr>
      </w:pPr>
      <w:r w:rsidRPr="00894277">
        <w:rPr>
          <w:rFonts w:cstheme="minorHAnsi"/>
          <w:b/>
          <w:bCs/>
        </w:rPr>
        <w:t>Likelihood</w:t>
      </w:r>
    </w:p>
    <w:p w14:paraId="24F4F82D" w14:textId="68CA7608" w:rsidR="00AA3DBB" w:rsidRPr="00AA3DBB" w:rsidRDefault="00AA3DBB" w:rsidP="00AA3DBB">
      <w:pPr>
        <w:pStyle w:val="ListParagraph"/>
        <w:numPr>
          <w:ilvl w:val="0"/>
          <w:numId w:val="37"/>
        </w:numPr>
        <w:rPr>
          <w:rFonts w:cstheme="minorHAnsi"/>
        </w:rPr>
      </w:pPr>
      <w:r w:rsidRPr="00AA3DBB">
        <w:rPr>
          <w:rFonts w:cstheme="minorHAnsi"/>
        </w:rPr>
        <w:t>Rare</w:t>
      </w:r>
      <w:r>
        <w:rPr>
          <w:rFonts w:cstheme="minorHAnsi"/>
        </w:rPr>
        <w:t xml:space="preserve"> </w:t>
      </w:r>
      <w:r w:rsidR="00CD73C4">
        <w:rPr>
          <w:rFonts w:cstheme="minorHAnsi"/>
        </w:rPr>
        <w:t>–</w:t>
      </w:r>
      <w:r>
        <w:rPr>
          <w:rFonts w:cstheme="minorHAnsi"/>
        </w:rPr>
        <w:t xml:space="preserve"> </w:t>
      </w:r>
      <w:r w:rsidR="00CD73C4">
        <w:rPr>
          <w:rFonts w:cstheme="minorHAnsi"/>
        </w:rPr>
        <w:t>only occurs in exceptional circumstances</w:t>
      </w:r>
    </w:p>
    <w:p w14:paraId="11A09ABF" w14:textId="2666F9A3" w:rsidR="00AA3DBB" w:rsidRPr="00AA3DBB" w:rsidRDefault="00AA3DBB" w:rsidP="00AA3DBB">
      <w:pPr>
        <w:pStyle w:val="ListParagraph"/>
        <w:numPr>
          <w:ilvl w:val="0"/>
          <w:numId w:val="37"/>
        </w:numPr>
        <w:rPr>
          <w:rFonts w:cstheme="minorHAnsi"/>
        </w:rPr>
      </w:pPr>
      <w:r w:rsidRPr="00AA3DBB">
        <w:rPr>
          <w:rFonts w:cstheme="minorHAnsi"/>
        </w:rPr>
        <w:t>Unlikely</w:t>
      </w:r>
      <w:r w:rsidR="00CD73C4">
        <w:rPr>
          <w:rFonts w:cstheme="minorHAnsi"/>
        </w:rPr>
        <w:t xml:space="preserve"> – less than 25% chance of </w:t>
      </w:r>
      <w:r w:rsidR="009722EA">
        <w:rPr>
          <w:rFonts w:cstheme="minorHAnsi"/>
        </w:rPr>
        <w:t>occurrence</w:t>
      </w:r>
    </w:p>
    <w:p w14:paraId="0B329AAB" w14:textId="5AEFF99C" w:rsidR="00AA3DBB" w:rsidRPr="00AA3DBB" w:rsidRDefault="00AA3DBB" w:rsidP="00AA3DBB">
      <w:pPr>
        <w:pStyle w:val="ListParagraph"/>
        <w:numPr>
          <w:ilvl w:val="0"/>
          <w:numId w:val="37"/>
        </w:numPr>
        <w:rPr>
          <w:rFonts w:cstheme="minorHAnsi"/>
        </w:rPr>
      </w:pPr>
      <w:r w:rsidRPr="00AA3DBB">
        <w:rPr>
          <w:rFonts w:cstheme="minorHAnsi"/>
        </w:rPr>
        <w:t>Possible</w:t>
      </w:r>
      <w:r w:rsidR="00CD73C4">
        <w:rPr>
          <w:rFonts w:cstheme="minorHAnsi"/>
        </w:rPr>
        <w:t xml:space="preserve"> – 25%-50% chance of </w:t>
      </w:r>
      <w:r w:rsidR="009722EA">
        <w:rPr>
          <w:rFonts w:cstheme="minorHAnsi"/>
        </w:rPr>
        <w:t>occurrence</w:t>
      </w:r>
    </w:p>
    <w:p w14:paraId="6A60B3CA" w14:textId="34B01D54" w:rsidR="00AA3DBB" w:rsidRPr="00AA3DBB" w:rsidRDefault="00AA3DBB" w:rsidP="00AA3DBB">
      <w:pPr>
        <w:pStyle w:val="ListParagraph"/>
        <w:numPr>
          <w:ilvl w:val="0"/>
          <w:numId w:val="37"/>
        </w:numPr>
        <w:rPr>
          <w:rFonts w:cstheme="minorHAnsi"/>
        </w:rPr>
      </w:pPr>
      <w:r w:rsidRPr="00AA3DBB">
        <w:rPr>
          <w:rFonts w:cstheme="minorHAnsi"/>
        </w:rPr>
        <w:t>Likely</w:t>
      </w:r>
      <w:r w:rsidR="00CD73C4">
        <w:rPr>
          <w:rFonts w:cstheme="minorHAnsi"/>
        </w:rPr>
        <w:t xml:space="preserve"> </w:t>
      </w:r>
      <w:r w:rsidR="009722EA">
        <w:rPr>
          <w:rFonts w:cstheme="minorHAnsi"/>
        </w:rPr>
        <w:t>–</w:t>
      </w:r>
      <w:r w:rsidR="00CD73C4">
        <w:rPr>
          <w:rFonts w:cstheme="minorHAnsi"/>
        </w:rPr>
        <w:t xml:space="preserve"> </w:t>
      </w:r>
      <w:r w:rsidR="009722EA">
        <w:rPr>
          <w:rFonts w:cstheme="minorHAnsi"/>
        </w:rPr>
        <w:t>50%-75% chance of occurrence</w:t>
      </w:r>
    </w:p>
    <w:p w14:paraId="6083C29F" w14:textId="40D84FB7" w:rsidR="00AA3DBB" w:rsidRDefault="00AA3DBB" w:rsidP="00AA3DBB">
      <w:pPr>
        <w:pStyle w:val="ListParagraph"/>
        <w:numPr>
          <w:ilvl w:val="0"/>
          <w:numId w:val="37"/>
        </w:numPr>
        <w:rPr>
          <w:rFonts w:cstheme="minorHAnsi"/>
        </w:rPr>
      </w:pPr>
      <w:r w:rsidRPr="00AA3DBB">
        <w:rPr>
          <w:rFonts w:cstheme="minorHAnsi"/>
        </w:rPr>
        <w:t>Certain</w:t>
      </w:r>
      <w:r w:rsidR="009722EA">
        <w:rPr>
          <w:rFonts w:cstheme="minorHAnsi"/>
        </w:rPr>
        <w:t xml:space="preserve"> – </w:t>
      </w:r>
      <w:r w:rsidR="00620F9E">
        <w:rPr>
          <w:rFonts w:cstheme="minorHAnsi"/>
        </w:rPr>
        <w:t>more than</w:t>
      </w:r>
      <w:r w:rsidR="009722EA">
        <w:rPr>
          <w:rFonts w:cstheme="minorHAnsi"/>
        </w:rPr>
        <w:t xml:space="preserve"> 75% chance of occurrence</w:t>
      </w:r>
    </w:p>
    <w:p w14:paraId="3E323655" w14:textId="7A8657A9" w:rsidR="009722EA" w:rsidRPr="00894277" w:rsidRDefault="009722EA" w:rsidP="009722EA">
      <w:pPr>
        <w:rPr>
          <w:rFonts w:cstheme="minorHAnsi"/>
          <w:b/>
          <w:bCs/>
        </w:rPr>
      </w:pPr>
      <w:r w:rsidRPr="00894277">
        <w:rPr>
          <w:rFonts w:cstheme="minorHAnsi"/>
          <w:b/>
          <w:bCs/>
        </w:rPr>
        <w:t>Impact</w:t>
      </w:r>
    </w:p>
    <w:p w14:paraId="73453342" w14:textId="5DA1C433" w:rsidR="009722EA" w:rsidRPr="009722EA" w:rsidRDefault="009722EA" w:rsidP="009722EA">
      <w:pPr>
        <w:pStyle w:val="ListParagraph"/>
        <w:numPr>
          <w:ilvl w:val="0"/>
          <w:numId w:val="38"/>
        </w:numPr>
        <w:rPr>
          <w:rFonts w:cstheme="minorHAnsi"/>
        </w:rPr>
      </w:pPr>
      <w:r w:rsidRPr="009722EA">
        <w:rPr>
          <w:rFonts w:cstheme="minorHAnsi"/>
        </w:rPr>
        <w:t>Insignificant</w:t>
      </w:r>
      <w:r w:rsidR="00757085">
        <w:rPr>
          <w:rFonts w:cstheme="minorHAnsi"/>
        </w:rPr>
        <w:t xml:space="preserve"> – negligible impact</w:t>
      </w:r>
      <w:r w:rsidR="00C01017">
        <w:rPr>
          <w:rFonts w:cstheme="minorHAnsi"/>
        </w:rPr>
        <w:t xml:space="preserve"> on the operation of the organization</w:t>
      </w:r>
    </w:p>
    <w:p w14:paraId="257D14F5" w14:textId="3AAE0F2B" w:rsidR="009722EA" w:rsidRPr="009722EA" w:rsidRDefault="009722EA" w:rsidP="009722EA">
      <w:pPr>
        <w:pStyle w:val="ListParagraph"/>
        <w:numPr>
          <w:ilvl w:val="0"/>
          <w:numId w:val="38"/>
        </w:numPr>
        <w:rPr>
          <w:rFonts w:cstheme="minorHAnsi"/>
        </w:rPr>
      </w:pPr>
      <w:r w:rsidRPr="009722EA">
        <w:rPr>
          <w:rFonts w:cstheme="minorHAnsi"/>
        </w:rPr>
        <w:t>Minor</w:t>
      </w:r>
      <w:r w:rsidR="003C658B">
        <w:rPr>
          <w:rFonts w:cstheme="minorHAnsi"/>
        </w:rPr>
        <w:t xml:space="preserve"> </w:t>
      </w:r>
      <w:r w:rsidR="00FE4D34">
        <w:rPr>
          <w:rFonts w:cstheme="minorHAnsi"/>
        </w:rPr>
        <w:t>–</w:t>
      </w:r>
      <w:r w:rsidR="003C658B">
        <w:rPr>
          <w:rFonts w:cstheme="minorHAnsi"/>
        </w:rPr>
        <w:t xml:space="preserve"> </w:t>
      </w:r>
      <w:r w:rsidR="00D85874">
        <w:rPr>
          <w:rFonts w:cstheme="minorHAnsi"/>
        </w:rPr>
        <w:t>operation of the organization is delayed or impaired</w:t>
      </w:r>
    </w:p>
    <w:p w14:paraId="5654AFAB" w14:textId="1C50219D" w:rsidR="009722EA" w:rsidRPr="009722EA" w:rsidRDefault="009722EA" w:rsidP="009722EA">
      <w:pPr>
        <w:pStyle w:val="ListParagraph"/>
        <w:numPr>
          <w:ilvl w:val="0"/>
          <w:numId w:val="38"/>
        </w:numPr>
        <w:rPr>
          <w:rFonts w:cstheme="minorHAnsi"/>
        </w:rPr>
      </w:pPr>
      <w:r w:rsidRPr="009722EA">
        <w:rPr>
          <w:rFonts w:cstheme="minorHAnsi"/>
        </w:rPr>
        <w:t>Moderate</w:t>
      </w:r>
      <w:r w:rsidR="003C658B">
        <w:rPr>
          <w:rFonts w:cstheme="minorHAnsi"/>
        </w:rPr>
        <w:t xml:space="preserve"> </w:t>
      </w:r>
      <w:r w:rsidR="00524193">
        <w:rPr>
          <w:rFonts w:cstheme="minorHAnsi"/>
        </w:rPr>
        <w:t>–</w:t>
      </w:r>
      <w:r w:rsidR="003C658B">
        <w:rPr>
          <w:rFonts w:cstheme="minorHAnsi"/>
        </w:rPr>
        <w:t xml:space="preserve"> </w:t>
      </w:r>
      <w:r w:rsidR="00524193">
        <w:rPr>
          <w:rFonts w:cstheme="minorHAnsi"/>
        </w:rPr>
        <w:t>operation of the organization is compromised</w:t>
      </w:r>
    </w:p>
    <w:p w14:paraId="390BD92C" w14:textId="21B93D03" w:rsidR="009722EA" w:rsidRPr="009722EA" w:rsidRDefault="009722EA" w:rsidP="009722EA">
      <w:pPr>
        <w:pStyle w:val="ListParagraph"/>
        <w:numPr>
          <w:ilvl w:val="0"/>
          <w:numId w:val="38"/>
        </w:numPr>
        <w:rPr>
          <w:rFonts w:cstheme="minorHAnsi"/>
        </w:rPr>
      </w:pPr>
      <w:r w:rsidRPr="009722EA">
        <w:rPr>
          <w:rFonts w:cstheme="minorHAnsi"/>
        </w:rPr>
        <w:t>Major</w:t>
      </w:r>
      <w:r w:rsidR="003C658B">
        <w:rPr>
          <w:rFonts w:cstheme="minorHAnsi"/>
        </w:rPr>
        <w:t xml:space="preserve"> – </w:t>
      </w:r>
      <w:r w:rsidR="009F399E">
        <w:rPr>
          <w:rFonts w:cstheme="minorHAnsi"/>
        </w:rPr>
        <w:t xml:space="preserve">inability to operate for </w:t>
      </w:r>
      <w:r w:rsidR="00857FDB">
        <w:rPr>
          <w:rFonts w:cstheme="minorHAnsi"/>
        </w:rPr>
        <w:t>a brief period</w:t>
      </w:r>
      <w:r w:rsidR="009F399E">
        <w:rPr>
          <w:rFonts w:cstheme="minorHAnsi"/>
        </w:rPr>
        <w:t xml:space="preserve"> of time</w:t>
      </w:r>
    </w:p>
    <w:p w14:paraId="2ACF9D52" w14:textId="7E8CE460" w:rsidR="009722EA" w:rsidRPr="009722EA" w:rsidRDefault="009722EA" w:rsidP="009722EA">
      <w:pPr>
        <w:pStyle w:val="ListParagraph"/>
        <w:numPr>
          <w:ilvl w:val="0"/>
          <w:numId w:val="38"/>
        </w:numPr>
        <w:rPr>
          <w:rFonts w:cstheme="minorHAnsi"/>
        </w:rPr>
      </w:pPr>
      <w:r w:rsidRPr="009722EA">
        <w:rPr>
          <w:rFonts w:cstheme="minorHAnsi"/>
        </w:rPr>
        <w:t>Catastrophic</w:t>
      </w:r>
      <w:r w:rsidR="00757085">
        <w:rPr>
          <w:rFonts w:cstheme="minorHAnsi"/>
        </w:rPr>
        <w:t xml:space="preserve"> </w:t>
      </w:r>
      <w:r w:rsidR="003C658B">
        <w:rPr>
          <w:rFonts w:cstheme="minorHAnsi"/>
        </w:rPr>
        <w:t>–</w:t>
      </w:r>
      <w:r w:rsidR="00757085">
        <w:rPr>
          <w:rFonts w:cstheme="minorHAnsi"/>
        </w:rPr>
        <w:t xml:space="preserve"> </w:t>
      </w:r>
      <w:r w:rsidR="009F399E">
        <w:rPr>
          <w:rFonts w:cstheme="minorHAnsi"/>
        </w:rPr>
        <w:t>inability to o</w:t>
      </w:r>
      <w:r w:rsidR="007E645E">
        <w:rPr>
          <w:rFonts w:cstheme="minorHAnsi"/>
        </w:rPr>
        <w:t xml:space="preserve">perate for a sustained </w:t>
      </w:r>
      <w:r w:rsidR="00620F9E">
        <w:rPr>
          <w:rFonts w:cstheme="minorHAnsi"/>
        </w:rPr>
        <w:t>period</w:t>
      </w:r>
    </w:p>
    <w:tbl>
      <w:tblPr>
        <w:tblW w:w="9641" w:type="dxa"/>
        <w:tblLook w:val="04A0" w:firstRow="1" w:lastRow="0" w:firstColumn="1" w:lastColumn="0" w:noHBand="0" w:noVBand="1"/>
      </w:tblPr>
      <w:tblGrid>
        <w:gridCol w:w="1646"/>
        <w:gridCol w:w="1941"/>
        <w:gridCol w:w="1327"/>
        <w:gridCol w:w="1537"/>
        <w:gridCol w:w="1327"/>
        <w:gridCol w:w="1863"/>
      </w:tblGrid>
      <w:tr w:rsidR="000433EA" w:rsidRPr="000433EA" w14:paraId="28D694BC" w14:textId="77777777" w:rsidTr="009722EA">
        <w:trPr>
          <w:trHeight w:val="297"/>
        </w:trPr>
        <w:tc>
          <w:tcPr>
            <w:tcW w:w="3587" w:type="dxa"/>
            <w:gridSpan w:val="2"/>
            <w:tcBorders>
              <w:top w:val="nil"/>
              <w:left w:val="nil"/>
              <w:bottom w:val="nil"/>
              <w:right w:val="nil"/>
            </w:tcBorders>
            <w:noWrap/>
            <w:vAlign w:val="bottom"/>
            <w:hideMark/>
          </w:tcPr>
          <w:p w14:paraId="42C1E350" w14:textId="30CC5AEF"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Risk Classification Matrix</w:t>
            </w:r>
          </w:p>
        </w:tc>
        <w:tc>
          <w:tcPr>
            <w:tcW w:w="1327" w:type="dxa"/>
            <w:tcBorders>
              <w:top w:val="nil"/>
              <w:left w:val="nil"/>
              <w:bottom w:val="nil"/>
              <w:right w:val="nil"/>
            </w:tcBorders>
            <w:noWrap/>
            <w:vAlign w:val="bottom"/>
            <w:hideMark/>
          </w:tcPr>
          <w:p w14:paraId="233A57F2" w14:textId="77777777" w:rsidR="000433EA" w:rsidRPr="000433EA" w:rsidRDefault="000433EA" w:rsidP="000433EA">
            <w:pPr>
              <w:spacing w:after="0" w:line="240" w:lineRule="auto"/>
              <w:rPr>
                <w:rFonts w:ascii="Calibri" w:eastAsia="Times New Roman" w:hAnsi="Calibri" w:cs="Calibri"/>
                <w:b/>
                <w:bCs/>
                <w:color w:val="000000"/>
              </w:rPr>
            </w:pPr>
          </w:p>
        </w:tc>
        <w:tc>
          <w:tcPr>
            <w:tcW w:w="1537" w:type="dxa"/>
            <w:tcBorders>
              <w:top w:val="nil"/>
              <w:left w:val="nil"/>
              <w:bottom w:val="nil"/>
              <w:right w:val="nil"/>
            </w:tcBorders>
            <w:noWrap/>
            <w:vAlign w:val="bottom"/>
            <w:hideMark/>
          </w:tcPr>
          <w:p w14:paraId="104C9743"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noWrap/>
            <w:vAlign w:val="bottom"/>
            <w:hideMark/>
          </w:tcPr>
          <w:p w14:paraId="6553AF98"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863" w:type="dxa"/>
            <w:tcBorders>
              <w:top w:val="nil"/>
              <w:left w:val="nil"/>
              <w:bottom w:val="nil"/>
              <w:right w:val="nil"/>
            </w:tcBorders>
            <w:noWrap/>
            <w:vAlign w:val="bottom"/>
            <w:hideMark/>
          </w:tcPr>
          <w:p w14:paraId="56843448" w14:textId="77777777" w:rsidR="000433EA" w:rsidRPr="000433EA" w:rsidRDefault="000433EA" w:rsidP="000433EA">
            <w:pPr>
              <w:spacing w:after="0" w:line="240" w:lineRule="auto"/>
              <w:rPr>
                <w:rFonts w:ascii="Times New Roman" w:eastAsia="Times New Roman" w:hAnsi="Times New Roman" w:cs="Times New Roman"/>
                <w:sz w:val="20"/>
                <w:szCs w:val="20"/>
              </w:rPr>
            </w:pPr>
          </w:p>
        </w:tc>
      </w:tr>
      <w:tr w:rsidR="000433EA" w:rsidRPr="000433EA" w14:paraId="0B48E5B3" w14:textId="77777777" w:rsidTr="009722EA">
        <w:trPr>
          <w:trHeight w:val="297"/>
        </w:trPr>
        <w:tc>
          <w:tcPr>
            <w:tcW w:w="1646" w:type="dxa"/>
            <w:tcBorders>
              <w:top w:val="nil"/>
              <w:left w:val="nil"/>
              <w:bottom w:val="nil"/>
              <w:right w:val="nil"/>
            </w:tcBorders>
            <w:noWrap/>
            <w:vAlign w:val="bottom"/>
            <w:hideMark/>
          </w:tcPr>
          <w:p w14:paraId="4B14BD53"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941" w:type="dxa"/>
            <w:tcBorders>
              <w:top w:val="nil"/>
              <w:left w:val="nil"/>
              <w:bottom w:val="nil"/>
              <w:right w:val="nil"/>
            </w:tcBorders>
            <w:noWrap/>
            <w:vAlign w:val="bottom"/>
            <w:hideMark/>
          </w:tcPr>
          <w:p w14:paraId="75AFE880"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noWrap/>
            <w:vAlign w:val="bottom"/>
            <w:hideMark/>
          </w:tcPr>
          <w:p w14:paraId="78775E0C"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537" w:type="dxa"/>
            <w:tcBorders>
              <w:top w:val="nil"/>
              <w:left w:val="nil"/>
              <w:bottom w:val="nil"/>
              <w:right w:val="nil"/>
            </w:tcBorders>
            <w:noWrap/>
            <w:vAlign w:val="bottom"/>
            <w:hideMark/>
          </w:tcPr>
          <w:p w14:paraId="165FF3C3"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noWrap/>
            <w:vAlign w:val="bottom"/>
            <w:hideMark/>
          </w:tcPr>
          <w:p w14:paraId="7A174DFD"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863" w:type="dxa"/>
            <w:tcBorders>
              <w:top w:val="nil"/>
              <w:left w:val="nil"/>
              <w:bottom w:val="nil"/>
              <w:right w:val="nil"/>
            </w:tcBorders>
            <w:noWrap/>
            <w:vAlign w:val="bottom"/>
            <w:hideMark/>
          </w:tcPr>
          <w:p w14:paraId="6B17CE0E" w14:textId="77777777" w:rsidR="000433EA" w:rsidRPr="000433EA" w:rsidRDefault="000433EA" w:rsidP="000433EA">
            <w:pPr>
              <w:spacing w:after="0" w:line="240" w:lineRule="auto"/>
              <w:rPr>
                <w:rFonts w:ascii="Times New Roman" w:eastAsia="Times New Roman" w:hAnsi="Times New Roman" w:cs="Times New Roman"/>
                <w:sz w:val="20"/>
                <w:szCs w:val="20"/>
              </w:rPr>
            </w:pPr>
          </w:p>
        </w:tc>
      </w:tr>
      <w:tr w:rsidR="000433EA" w:rsidRPr="000433EA" w14:paraId="3B01EE79" w14:textId="77777777" w:rsidTr="009722EA">
        <w:trPr>
          <w:trHeight w:val="297"/>
        </w:trPr>
        <w:tc>
          <w:tcPr>
            <w:tcW w:w="1646" w:type="dxa"/>
            <w:tcBorders>
              <w:top w:val="nil"/>
              <w:left w:val="nil"/>
              <w:bottom w:val="nil"/>
              <w:right w:val="nil"/>
            </w:tcBorders>
            <w:noWrap/>
            <w:vAlign w:val="bottom"/>
            <w:hideMark/>
          </w:tcPr>
          <w:p w14:paraId="06A0CC30"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941" w:type="dxa"/>
            <w:tcBorders>
              <w:top w:val="nil"/>
              <w:left w:val="nil"/>
              <w:bottom w:val="nil"/>
              <w:right w:val="nil"/>
            </w:tcBorders>
            <w:noWrap/>
            <w:vAlign w:val="bottom"/>
            <w:hideMark/>
          </w:tcPr>
          <w:p w14:paraId="61C5FDD7"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noWrap/>
            <w:vAlign w:val="bottom"/>
            <w:hideMark/>
          </w:tcPr>
          <w:p w14:paraId="03A807FC"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537" w:type="dxa"/>
            <w:tcBorders>
              <w:top w:val="nil"/>
              <w:left w:val="nil"/>
              <w:bottom w:val="nil"/>
              <w:right w:val="nil"/>
            </w:tcBorders>
            <w:noWrap/>
            <w:vAlign w:val="bottom"/>
            <w:hideMark/>
          </w:tcPr>
          <w:p w14:paraId="60471115"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Impact</w:t>
            </w:r>
          </w:p>
        </w:tc>
        <w:tc>
          <w:tcPr>
            <w:tcW w:w="1327" w:type="dxa"/>
            <w:tcBorders>
              <w:top w:val="nil"/>
              <w:left w:val="nil"/>
              <w:bottom w:val="nil"/>
              <w:right w:val="nil"/>
            </w:tcBorders>
            <w:noWrap/>
            <w:vAlign w:val="bottom"/>
            <w:hideMark/>
          </w:tcPr>
          <w:p w14:paraId="216737DC" w14:textId="77777777" w:rsidR="000433EA" w:rsidRPr="000433EA" w:rsidRDefault="000433EA" w:rsidP="000433EA">
            <w:pPr>
              <w:spacing w:after="0" w:line="240" w:lineRule="auto"/>
              <w:rPr>
                <w:rFonts w:ascii="Calibri" w:eastAsia="Times New Roman" w:hAnsi="Calibri" w:cs="Calibri"/>
                <w:b/>
                <w:bCs/>
                <w:color w:val="000000"/>
              </w:rPr>
            </w:pPr>
          </w:p>
        </w:tc>
        <w:tc>
          <w:tcPr>
            <w:tcW w:w="1863" w:type="dxa"/>
            <w:tcBorders>
              <w:top w:val="nil"/>
              <w:left w:val="nil"/>
              <w:bottom w:val="nil"/>
              <w:right w:val="nil"/>
            </w:tcBorders>
            <w:noWrap/>
            <w:vAlign w:val="bottom"/>
            <w:hideMark/>
          </w:tcPr>
          <w:p w14:paraId="0FD6B59C" w14:textId="77777777" w:rsidR="000433EA" w:rsidRPr="000433EA" w:rsidRDefault="000433EA" w:rsidP="000433EA">
            <w:pPr>
              <w:spacing w:after="0" w:line="240" w:lineRule="auto"/>
              <w:rPr>
                <w:rFonts w:ascii="Times New Roman" w:eastAsia="Times New Roman" w:hAnsi="Times New Roman" w:cs="Times New Roman"/>
                <w:sz w:val="20"/>
                <w:szCs w:val="20"/>
              </w:rPr>
            </w:pPr>
          </w:p>
        </w:tc>
      </w:tr>
      <w:tr w:rsidR="000433EA" w:rsidRPr="000433EA" w14:paraId="058FB39C" w14:textId="77777777" w:rsidTr="009722EA">
        <w:trPr>
          <w:trHeight w:val="297"/>
        </w:trPr>
        <w:tc>
          <w:tcPr>
            <w:tcW w:w="1646" w:type="dxa"/>
            <w:tcBorders>
              <w:top w:val="nil"/>
              <w:left w:val="nil"/>
              <w:bottom w:val="nil"/>
              <w:right w:val="nil"/>
            </w:tcBorders>
            <w:noWrap/>
            <w:vAlign w:val="bottom"/>
            <w:hideMark/>
          </w:tcPr>
          <w:p w14:paraId="542678C3"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Likelihood</w:t>
            </w:r>
          </w:p>
        </w:tc>
        <w:tc>
          <w:tcPr>
            <w:tcW w:w="1941" w:type="dxa"/>
            <w:tcBorders>
              <w:top w:val="nil"/>
              <w:left w:val="nil"/>
              <w:bottom w:val="nil"/>
              <w:right w:val="nil"/>
            </w:tcBorders>
            <w:noWrap/>
            <w:vAlign w:val="bottom"/>
            <w:hideMark/>
          </w:tcPr>
          <w:p w14:paraId="62F3C4C1" w14:textId="77777777" w:rsidR="000433EA" w:rsidRPr="000433EA" w:rsidRDefault="000433EA" w:rsidP="000433EA">
            <w:pPr>
              <w:spacing w:after="0" w:line="240" w:lineRule="auto"/>
              <w:rPr>
                <w:rFonts w:ascii="Calibri" w:eastAsia="Times New Roman" w:hAnsi="Calibri" w:cs="Calibri"/>
                <w:b/>
                <w:bCs/>
                <w:color w:val="000000"/>
              </w:rPr>
            </w:pPr>
          </w:p>
        </w:tc>
        <w:tc>
          <w:tcPr>
            <w:tcW w:w="1327" w:type="dxa"/>
            <w:tcBorders>
              <w:top w:val="nil"/>
              <w:left w:val="nil"/>
              <w:bottom w:val="nil"/>
              <w:right w:val="nil"/>
            </w:tcBorders>
            <w:noWrap/>
            <w:vAlign w:val="bottom"/>
            <w:hideMark/>
          </w:tcPr>
          <w:p w14:paraId="3CCFF9E1"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537" w:type="dxa"/>
            <w:tcBorders>
              <w:top w:val="nil"/>
              <w:left w:val="nil"/>
              <w:bottom w:val="nil"/>
              <w:right w:val="nil"/>
            </w:tcBorders>
            <w:noWrap/>
            <w:vAlign w:val="bottom"/>
            <w:hideMark/>
          </w:tcPr>
          <w:p w14:paraId="11B1F772"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327" w:type="dxa"/>
            <w:tcBorders>
              <w:top w:val="nil"/>
              <w:left w:val="nil"/>
              <w:bottom w:val="nil"/>
              <w:right w:val="nil"/>
            </w:tcBorders>
            <w:noWrap/>
            <w:vAlign w:val="bottom"/>
            <w:hideMark/>
          </w:tcPr>
          <w:p w14:paraId="736E878F"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863" w:type="dxa"/>
            <w:tcBorders>
              <w:top w:val="nil"/>
              <w:left w:val="nil"/>
              <w:bottom w:val="nil"/>
              <w:right w:val="nil"/>
            </w:tcBorders>
            <w:noWrap/>
            <w:vAlign w:val="bottom"/>
            <w:hideMark/>
          </w:tcPr>
          <w:p w14:paraId="72536D29" w14:textId="77777777" w:rsidR="000433EA" w:rsidRPr="000433EA" w:rsidRDefault="000433EA" w:rsidP="000433EA">
            <w:pPr>
              <w:spacing w:after="0" w:line="240" w:lineRule="auto"/>
              <w:rPr>
                <w:rFonts w:ascii="Times New Roman" w:eastAsia="Times New Roman" w:hAnsi="Times New Roman" w:cs="Times New Roman"/>
                <w:sz w:val="20"/>
                <w:szCs w:val="20"/>
              </w:rPr>
            </w:pPr>
          </w:p>
        </w:tc>
      </w:tr>
      <w:tr w:rsidR="000433EA" w:rsidRPr="000433EA" w14:paraId="33A85A1E" w14:textId="77777777" w:rsidTr="009722EA">
        <w:trPr>
          <w:trHeight w:val="297"/>
        </w:trPr>
        <w:tc>
          <w:tcPr>
            <w:tcW w:w="1646" w:type="dxa"/>
            <w:tcBorders>
              <w:top w:val="nil"/>
              <w:left w:val="nil"/>
              <w:bottom w:val="nil"/>
              <w:right w:val="nil"/>
            </w:tcBorders>
            <w:noWrap/>
            <w:vAlign w:val="bottom"/>
            <w:hideMark/>
          </w:tcPr>
          <w:p w14:paraId="74EA28EE" w14:textId="77777777" w:rsidR="000433EA" w:rsidRPr="000433EA" w:rsidRDefault="000433EA" w:rsidP="000433EA">
            <w:pPr>
              <w:spacing w:after="0" w:line="240" w:lineRule="auto"/>
              <w:rPr>
                <w:rFonts w:ascii="Times New Roman" w:eastAsia="Times New Roman" w:hAnsi="Times New Roman" w:cs="Times New Roman"/>
                <w:sz w:val="20"/>
                <w:szCs w:val="20"/>
              </w:rPr>
            </w:pPr>
          </w:p>
        </w:tc>
        <w:tc>
          <w:tcPr>
            <w:tcW w:w="1941" w:type="dxa"/>
            <w:tcBorders>
              <w:top w:val="nil"/>
              <w:left w:val="nil"/>
              <w:bottom w:val="nil"/>
              <w:right w:val="nil"/>
            </w:tcBorders>
            <w:noWrap/>
            <w:vAlign w:val="bottom"/>
            <w:hideMark/>
          </w:tcPr>
          <w:p w14:paraId="56313AAE"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Insignificant</w:t>
            </w:r>
          </w:p>
        </w:tc>
        <w:tc>
          <w:tcPr>
            <w:tcW w:w="1327" w:type="dxa"/>
            <w:tcBorders>
              <w:top w:val="nil"/>
              <w:left w:val="nil"/>
              <w:bottom w:val="nil"/>
              <w:right w:val="nil"/>
            </w:tcBorders>
            <w:noWrap/>
            <w:vAlign w:val="bottom"/>
            <w:hideMark/>
          </w:tcPr>
          <w:p w14:paraId="39A507BE"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Minor</w:t>
            </w:r>
          </w:p>
        </w:tc>
        <w:tc>
          <w:tcPr>
            <w:tcW w:w="1537" w:type="dxa"/>
            <w:tcBorders>
              <w:top w:val="nil"/>
              <w:left w:val="nil"/>
              <w:bottom w:val="nil"/>
              <w:right w:val="nil"/>
            </w:tcBorders>
            <w:noWrap/>
            <w:vAlign w:val="bottom"/>
            <w:hideMark/>
          </w:tcPr>
          <w:p w14:paraId="0B26D865"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Moderate</w:t>
            </w:r>
          </w:p>
        </w:tc>
        <w:tc>
          <w:tcPr>
            <w:tcW w:w="1327" w:type="dxa"/>
            <w:tcBorders>
              <w:top w:val="nil"/>
              <w:left w:val="nil"/>
              <w:bottom w:val="nil"/>
              <w:right w:val="nil"/>
            </w:tcBorders>
            <w:noWrap/>
            <w:vAlign w:val="bottom"/>
            <w:hideMark/>
          </w:tcPr>
          <w:p w14:paraId="6C486265"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Major</w:t>
            </w:r>
          </w:p>
        </w:tc>
        <w:tc>
          <w:tcPr>
            <w:tcW w:w="1863" w:type="dxa"/>
            <w:tcBorders>
              <w:top w:val="nil"/>
              <w:left w:val="nil"/>
              <w:bottom w:val="nil"/>
              <w:right w:val="nil"/>
            </w:tcBorders>
            <w:noWrap/>
            <w:vAlign w:val="bottom"/>
            <w:hideMark/>
          </w:tcPr>
          <w:p w14:paraId="2FF3B660"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Catastrophic</w:t>
            </w:r>
          </w:p>
        </w:tc>
      </w:tr>
      <w:tr w:rsidR="000433EA" w:rsidRPr="000433EA" w14:paraId="5CC0B008" w14:textId="77777777" w:rsidTr="009722EA">
        <w:trPr>
          <w:trHeight w:val="297"/>
        </w:trPr>
        <w:tc>
          <w:tcPr>
            <w:tcW w:w="1646" w:type="dxa"/>
            <w:tcBorders>
              <w:top w:val="nil"/>
              <w:left w:val="nil"/>
              <w:bottom w:val="nil"/>
              <w:right w:val="nil"/>
            </w:tcBorders>
            <w:noWrap/>
            <w:vAlign w:val="bottom"/>
            <w:hideMark/>
          </w:tcPr>
          <w:p w14:paraId="5C95F12F"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Rare</w:t>
            </w:r>
          </w:p>
        </w:tc>
        <w:tc>
          <w:tcPr>
            <w:tcW w:w="1941" w:type="dxa"/>
            <w:tcBorders>
              <w:top w:val="nil"/>
              <w:left w:val="nil"/>
              <w:bottom w:val="nil"/>
              <w:right w:val="nil"/>
            </w:tcBorders>
            <w:shd w:val="clear" w:color="000000" w:fill="70AD47"/>
            <w:noWrap/>
            <w:vAlign w:val="bottom"/>
            <w:hideMark/>
          </w:tcPr>
          <w:p w14:paraId="7F52926E"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70AD47"/>
            <w:noWrap/>
            <w:vAlign w:val="bottom"/>
            <w:hideMark/>
          </w:tcPr>
          <w:p w14:paraId="1DC8778E"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537" w:type="dxa"/>
            <w:tcBorders>
              <w:top w:val="nil"/>
              <w:left w:val="nil"/>
              <w:bottom w:val="nil"/>
              <w:right w:val="nil"/>
            </w:tcBorders>
            <w:shd w:val="clear" w:color="000000" w:fill="70AD47"/>
            <w:noWrap/>
            <w:vAlign w:val="bottom"/>
            <w:hideMark/>
          </w:tcPr>
          <w:p w14:paraId="2E9F4426"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70AD47"/>
            <w:noWrap/>
            <w:vAlign w:val="bottom"/>
            <w:hideMark/>
          </w:tcPr>
          <w:p w14:paraId="2F063D2C"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863" w:type="dxa"/>
            <w:tcBorders>
              <w:top w:val="nil"/>
              <w:left w:val="nil"/>
              <w:bottom w:val="nil"/>
              <w:right w:val="nil"/>
            </w:tcBorders>
            <w:shd w:val="clear" w:color="000000" w:fill="70AD47"/>
            <w:noWrap/>
            <w:vAlign w:val="bottom"/>
            <w:hideMark/>
          </w:tcPr>
          <w:p w14:paraId="1D6592E2"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r>
      <w:tr w:rsidR="000433EA" w:rsidRPr="000433EA" w14:paraId="72C354C1" w14:textId="77777777" w:rsidTr="009722EA">
        <w:trPr>
          <w:trHeight w:val="297"/>
        </w:trPr>
        <w:tc>
          <w:tcPr>
            <w:tcW w:w="1646" w:type="dxa"/>
            <w:tcBorders>
              <w:top w:val="nil"/>
              <w:left w:val="nil"/>
              <w:bottom w:val="nil"/>
              <w:right w:val="nil"/>
            </w:tcBorders>
            <w:noWrap/>
            <w:vAlign w:val="bottom"/>
            <w:hideMark/>
          </w:tcPr>
          <w:p w14:paraId="672E0B21"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Unlikely</w:t>
            </w:r>
          </w:p>
        </w:tc>
        <w:tc>
          <w:tcPr>
            <w:tcW w:w="1941" w:type="dxa"/>
            <w:tcBorders>
              <w:top w:val="nil"/>
              <w:left w:val="nil"/>
              <w:bottom w:val="nil"/>
              <w:right w:val="nil"/>
            </w:tcBorders>
            <w:shd w:val="clear" w:color="000000" w:fill="70AD47"/>
            <w:noWrap/>
            <w:vAlign w:val="bottom"/>
            <w:hideMark/>
          </w:tcPr>
          <w:p w14:paraId="6C6DE43A"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70AD47"/>
            <w:noWrap/>
            <w:vAlign w:val="bottom"/>
            <w:hideMark/>
          </w:tcPr>
          <w:p w14:paraId="4ED96CD8"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537" w:type="dxa"/>
            <w:tcBorders>
              <w:top w:val="nil"/>
              <w:left w:val="nil"/>
              <w:bottom w:val="nil"/>
              <w:right w:val="nil"/>
            </w:tcBorders>
            <w:shd w:val="clear" w:color="000000" w:fill="70AD47"/>
            <w:noWrap/>
            <w:vAlign w:val="bottom"/>
            <w:hideMark/>
          </w:tcPr>
          <w:p w14:paraId="06318A57"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FFFF00"/>
            <w:noWrap/>
            <w:vAlign w:val="bottom"/>
            <w:hideMark/>
          </w:tcPr>
          <w:p w14:paraId="3594E65A"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863" w:type="dxa"/>
            <w:tcBorders>
              <w:top w:val="nil"/>
              <w:left w:val="nil"/>
              <w:bottom w:val="nil"/>
              <w:right w:val="nil"/>
            </w:tcBorders>
            <w:shd w:val="clear" w:color="000000" w:fill="FFFF00"/>
            <w:noWrap/>
            <w:vAlign w:val="bottom"/>
            <w:hideMark/>
          </w:tcPr>
          <w:p w14:paraId="2C55CDC2"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r>
      <w:tr w:rsidR="000433EA" w:rsidRPr="000433EA" w14:paraId="2D9976F4" w14:textId="77777777" w:rsidTr="009722EA">
        <w:trPr>
          <w:trHeight w:val="297"/>
        </w:trPr>
        <w:tc>
          <w:tcPr>
            <w:tcW w:w="1646" w:type="dxa"/>
            <w:tcBorders>
              <w:top w:val="nil"/>
              <w:left w:val="nil"/>
              <w:bottom w:val="nil"/>
              <w:right w:val="nil"/>
            </w:tcBorders>
            <w:noWrap/>
            <w:vAlign w:val="bottom"/>
            <w:hideMark/>
          </w:tcPr>
          <w:p w14:paraId="4A9762AE"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Possible</w:t>
            </w:r>
          </w:p>
        </w:tc>
        <w:tc>
          <w:tcPr>
            <w:tcW w:w="1941" w:type="dxa"/>
            <w:tcBorders>
              <w:top w:val="nil"/>
              <w:left w:val="nil"/>
              <w:bottom w:val="nil"/>
              <w:right w:val="nil"/>
            </w:tcBorders>
            <w:shd w:val="clear" w:color="000000" w:fill="70AD47"/>
            <w:noWrap/>
            <w:vAlign w:val="bottom"/>
            <w:hideMark/>
          </w:tcPr>
          <w:p w14:paraId="2CB17CB6"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70AD47"/>
            <w:noWrap/>
            <w:vAlign w:val="bottom"/>
            <w:hideMark/>
          </w:tcPr>
          <w:p w14:paraId="300A213E"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537" w:type="dxa"/>
            <w:tcBorders>
              <w:top w:val="nil"/>
              <w:left w:val="nil"/>
              <w:bottom w:val="nil"/>
              <w:right w:val="nil"/>
            </w:tcBorders>
            <w:shd w:val="clear" w:color="000000" w:fill="FFFF00"/>
            <w:noWrap/>
            <w:vAlign w:val="bottom"/>
            <w:hideMark/>
          </w:tcPr>
          <w:p w14:paraId="0FAA1A2C"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327" w:type="dxa"/>
            <w:tcBorders>
              <w:top w:val="nil"/>
              <w:left w:val="nil"/>
              <w:bottom w:val="nil"/>
              <w:right w:val="nil"/>
            </w:tcBorders>
            <w:shd w:val="clear" w:color="000000" w:fill="FFFF00"/>
            <w:noWrap/>
            <w:vAlign w:val="bottom"/>
            <w:hideMark/>
          </w:tcPr>
          <w:p w14:paraId="0BBACAE0"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863" w:type="dxa"/>
            <w:tcBorders>
              <w:top w:val="nil"/>
              <w:left w:val="nil"/>
              <w:bottom w:val="nil"/>
              <w:right w:val="nil"/>
            </w:tcBorders>
            <w:shd w:val="clear" w:color="000000" w:fill="FFFF00"/>
            <w:noWrap/>
            <w:vAlign w:val="bottom"/>
            <w:hideMark/>
          </w:tcPr>
          <w:p w14:paraId="1805B264"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r>
      <w:tr w:rsidR="000433EA" w:rsidRPr="000433EA" w14:paraId="6E9ADF54" w14:textId="77777777" w:rsidTr="009722EA">
        <w:trPr>
          <w:trHeight w:val="297"/>
        </w:trPr>
        <w:tc>
          <w:tcPr>
            <w:tcW w:w="1646" w:type="dxa"/>
            <w:tcBorders>
              <w:top w:val="nil"/>
              <w:left w:val="nil"/>
              <w:bottom w:val="nil"/>
              <w:right w:val="nil"/>
            </w:tcBorders>
            <w:noWrap/>
            <w:vAlign w:val="bottom"/>
            <w:hideMark/>
          </w:tcPr>
          <w:p w14:paraId="73753332"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Likely</w:t>
            </w:r>
          </w:p>
        </w:tc>
        <w:tc>
          <w:tcPr>
            <w:tcW w:w="1941" w:type="dxa"/>
            <w:tcBorders>
              <w:top w:val="nil"/>
              <w:left w:val="nil"/>
              <w:bottom w:val="nil"/>
              <w:right w:val="nil"/>
            </w:tcBorders>
            <w:shd w:val="clear" w:color="000000" w:fill="70AD47"/>
            <w:noWrap/>
            <w:vAlign w:val="bottom"/>
            <w:hideMark/>
          </w:tcPr>
          <w:p w14:paraId="723A0D15"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FFFF00"/>
            <w:noWrap/>
            <w:vAlign w:val="bottom"/>
            <w:hideMark/>
          </w:tcPr>
          <w:p w14:paraId="3814CBA6"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537" w:type="dxa"/>
            <w:tcBorders>
              <w:top w:val="nil"/>
              <w:left w:val="nil"/>
              <w:bottom w:val="nil"/>
              <w:right w:val="nil"/>
            </w:tcBorders>
            <w:shd w:val="clear" w:color="000000" w:fill="FFFF00"/>
            <w:noWrap/>
            <w:vAlign w:val="bottom"/>
            <w:hideMark/>
          </w:tcPr>
          <w:p w14:paraId="10D5843C"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327" w:type="dxa"/>
            <w:tcBorders>
              <w:top w:val="nil"/>
              <w:left w:val="nil"/>
              <w:bottom w:val="nil"/>
              <w:right w:val="nil"/>
            </w:tcBorders>
            <w:shd w:val="clear" w:color="000000" w:fill="C65911"/>
            <w:noWrap/>
            <w:vAlign w:val="bottom"/>
            <w:hideMark/>
          </w:tcPr>
          <w:p w14:paraId="6A3EBEF9"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High</w:t>
            </w:r>
          </w:p>
        </w:tc>
        <w:tc>
          <w:tcPr>
            <w:tcW w:w="1863" w:type="dxa"/>
            <w:tcBorders>
              <w:top w:val="nil"/>
              <w:left w:val="nil"/>
              <w:bottom w:val="nil"/>
              <w:right w:val="nil"/>
            </w:tcBorders>
            <w:shd w:val="clear" w:color="000000" w:fill="C65911"/>
            <w:noWrap/>
            <w:vAlign w:val="bottom"/>
            <w:hideMark/>
          </w:tcPr>
          <w:p w14:paraId="043133BF"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High</w:t>
            </w:r>
          </w:p>
        </w:tc>
      </w:tr>
      <w:tr w:rsidR="000433EA" w:rsidRPr="000433EA" w14:paraId="393DD1D4" w14:textId="77777777" w:rsidTr="009722EA">
        <w:trPr>
          <w:trHeight w:val="297"/>
        </w:trPr>
        <w:tc>
          <w:tcPr>
            <w:tcW w:w="1646" w:type="dxa"/>
            <w:tcBorders>
              <w:top w:val="nil"/>
              <w:left w:val="nil"/>
              <w:bottom w:val="nil"/>
              <w:right w:val="nil"/>
            </w:tcBorders>
            <w:noWrap/>
            <w:vAlign w:val="bottom"/>
            <w:hideMark/>
          </w:tcPr>
          <w:p w14:paraId="46769B84" w14:textId="77777777" w:rsidR="000433EA" w:rsidRPr="000433EA" w:rsidRDefault="000433EA" w:rsidP="000433EA">
            <w:pPr>
              <w:spacing w:after="0" w:line="240" w:lineRule="auto"/>
              <w:rPr>
                <w:rFonts w:ascii="Calibri" w:eastAsia="Times New Roman" w:hAnsi="Calibri" w:cs="Calibri"/>
                <w:b/>
                <w:bCs/>
                <w:color w:val="000000"/>
              </w:rPr>
            </w:pPr>
            <w:r w:rsidRPr="000433EA">
              <w:rPr>
                <w:rFonts w:ascii="Calibri" w:eastAsia="Times New Roman" w:hAnsi="Calibri" w:cs="Calibri"/>
                <w:b/>
                <w:bCs/>
                <w:color w:val="000000"/>
              </w:rPr>
              <w:t>Certain</w:t>
            </w:r>
          </w:p>
        </w:tc>
        <w:tc>
          <w:tcPr>
            <w:tcW w:w="1941" w:type="dxa"/>
            <w:tcBorders>
              <w:top w:val="nil"/>
              <w:left w:val="nil"/>
              <w:bottom w:val="nil"/>
              <w:right w:val="nil"/>
            </w:tcBorders>
            <w:shd w:val="clear" w:color="000000" w:fill="70AD47"/>
            <w:noWrap/>
            <w:vAlign w:val="bottom"/>
            <w:hideMark/>
          </w:tcPr>
          <w:p w14:paraId="4F38F67C"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Low</w:t>
            </w:r>
          </w:p>
        </w:tc>
        <w:tc>
          <w:tcPr>
            <w:tcW w:w="1327" w:type="dxa"/>
            <w:tcBorders>
              <w:top w:val="nil"/>
              <w:left w:val="nil"/>
              <w:bottom w:val="nil"/>
              <w:right w:val="nil"/>
            </w:tcBorders>
            <w:shd w:val="clear" w:color="000000" w:fill="FFFF00"/>
            <w:noWrap/>
            <w:vAlign w:val="bottom"/>
            <w:hideMark/>
          </w:tcPr>
          <w:p w14:paraId="5754E397"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537" w:type="dxa"/>
            <w:tcBorders>
              <w:top w:val="nil"/>
              <w:left w:val="nil"/>
              <w:bottom w:val="nil"/>
              <w:right w:val="nil"/>
            </w:tcBorders>
            <w:shd w:val="clear" w:color="000000" w:fill="FFFF00"/>
            <w:noWrap/>
            <w:vAlign w:val="bottom"/>
            <w:hideMark/>
          </w:tcPr>
          <w:p w14:paraId="6EABEAF3"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Medium</w:t>
            </w:r>
          </w:p>
        </w:tc>
        <w:tc>
          <w:tcPr>
            <w:tcW w:w="1327" w:type="dxa"/>
            <w:tcBorders>
              <w:top w:val="nil"/>
              <w:left w:val="nil"/>
              <w:bottom w:val="nil"/>
              <w:right w:val="nil"/>
            </w:tcBorders>
            <w:shd w:val="clear" w:color="000000" w:fill="C65911"/>
            <w:noWrap/>
            <w:vAlign w:val="bottom"/>
            <w:hideMark/>
          </w:tcPr>
          <w:p w14:paraId="546156F9" w14:textId="77777777" w:rsidR="000433EA" w:rsidRPr="000433EA" w:rsidRDefault="000433EA" w:rsidP="000433EA">
            <w:pPr>
              <w:spacing w:after="0" w:line="240" w:lineRule="auto"/>
              <w:rPr>
                <w:rFonts w:ascii="Calibri" w:eastAsia="Times New Roman" w:hAnsi="Calibri" w:cs="Calibri"/>
                <w:color w:val="000000"/>
              </w:rPr>
            </w:pPr>
            <w:r w:rsidRPr="000433EA">
              <w:rPr>
                <w:rFonts w:ascii="Calibri" w:eastAsia="Times New Roman" w:hAnsi="Calibri" w:cs="Calibri"/>
                <w:color w:val="000000"/>
              </w:rPr>
              <w:t>High</w:t>
            </w:r>
          </w:p>
        </w:tc>
        <w:tc>
          <w:tcPr>
            <w:tcW w:w="1863" w:type="dxa"/>
            <w:tcBorders>
              <w:top w:val="nil"/>
              <w:left w:val="nil"/>
              <w:bottom w:val="nil"/>
              <w:right w:val="nil"/>
            </w:tcBorders>
            <w:shd w:val="clear" w:color="000000" w:fill="FF0000"/>
            <w:noWrap/>
            <w:vAlign w:val="bottom"/>
            <w:hideMark/>
          </w:tcPr>
          <w:p w14:paraId="35528179" w14:textId="77777777" w:rsidR="000433EA" w:rsidRPr="000433EA" w:rsidRDefault="000433EA" w:rsidP="000433EA">
            <w:pPr>
              <w:spacing w:after="0" w:line="240" w:lineRule="auto"/>
              <w:rPr>
                <w:rFonts w:ascii="Calibri" w:eastAsia="Times New Roman" w:hAnsi="Calibri" w:cs="Calibri"/>
              </w:rPr>
            </w:pPr>
            <w:r w:rsidRPr="000433EA">
              <w:rPr>
                <w:rFonts w:ascii="Calibri" w:eastAsia="Times New Roman" w:hAnsi="Calibri" w:cs="Calibri"/>
              </w:rPr>
              <w:t>Extreme</w:t>
            </w:r>
          </w:p>
        </w:tc>
      </w:tr>
    </w:tbl>
    <w:p w14:paraId="76B25F6B" w14:textId="77777777" w:rsidR="00576877" w:rsidRDefault="00576877" w:rsidP="00FE0D58">
      <w:pPr>
        <w:rPr>
          <w:b/>
          <w:bCs/>
          <w:sz w:val="28"/>
          <w:szCs w:val="28"/>
        </w:rPr>
      </w:pPr>
    </w:p>
    <w:p w14:paraId="2E6A6CD5" w14:textId="77777777" w:rsidR="004B47D0" w:rsidRDefault="004B47D0" w:rsidP="00576877">
      <w:pPr>
        <w:rPr>
          <w:b/>
          <w:bCs/>
          <w:sz w:val="28"/>
          <w:szCs w:val="28"/>
        </w:rPr>
      </w:pPr>
    </w:p>
    <w:p w14:paraId="36409A42" w14:textId="77777777" w:rsidR="004B47D0" w:rsidRDefault="004B47D0" w:rsidP="00576877">
      <w:pPr>
        <w:rPr>
          <w:b/>
          <w:bCs/>
          <w:sz w:val="28"/>
          <w:szCs w:val="28"/>
        </w:rPr>
      </w:pPr>
    </w:p>
    <w:p w14:paraId="3403901F" w14:textId="43DDFD06" w:rsidR="00576877" w:rsidRDefault="00576877" w:rsidP="00576877">
      <w:pPr>
        <w:rPr>
          <w:b/>
          <w:bCs/>
          <w:sz w:val="28"/>
          <w:szCs w:val="28"/>
        </w:rPr>
      </w:pPr>
      <w:r>
        <w:rPr>
          <w:b/>
          <w:bCs/>
          <w:sz w:val="28"/>
          <w:szCs w:val="28"/>
        </w:rPr>
        <w:lastRenderedPageBreak/>
        <w:t>Risk Management Assessment</w:t>
      </w:r>
    </w:p>
    <w:p w14:paraId="07BCBFAB" w14:textId="36A67642" w:rsidR="00576877" w:rsidRDefault="00576877" w:rsidP="00576877">
      <w:pPr>
        <w:rPr>
          <w:rFonts w:cstheme="minorHAnsi"/>
        </w:rPr>
      </w:pPr>
      <w:r>
        <w:rPr>
          <w:rFonts w:cstheme="minorHAnsi"/>
        </w:rPr>
        <w:t xml:space="preserve">The assessment identified risks and mitigation strategies to manage the risks. </w:t>
      </w:r>
      <w:r w:rsidR="00907A9E">
        <w:rPr>
          <w:rFonts w:cstheme="minorHAnsi"/>
        </w:rPr>
        <w:t>60</w:t>
      </w:r>
      <w:r>
        <w:rPr>
          <w:rFonts w:cstheme="minorHAnsi"/>
        </w:rPr>
        <w:t xml:space="preserve"> risks were identified and assessed as follows:</w:t>
      </w:r>
    </w:p>
    <w:p w14:paraId="6F11C4C1" w14:textId="600DDB40" w:rsidR="00576877" w:rsidRPr="00062256" w:rsidRDefault="00576877" w:rsidP="00576877">
      <w:pPr>
        <w:pStyle w:val="ListParagraph"/>
        <w:numPr>
          <w:ilvl w:val="0"/>
          <w:numId w:val="36"/>
        </w:numPr>
        <w:rPr>
          <w:rFonts w:cstheme="minorHAnsi"/>
        </w:rPr>
      </w:pPr>
      <w:r w:rsidRPr="00062256">
        <w:rPr>
          <w:rFonts w:cstheme="minorHAnsi"/>
        </w:rPr>
        <w:t>Low</w:t>
      </w:r>
      <w:r>
        <w:rPr>
          <w:rFonts w:cstheme="minorHAnsi"/>
        </w:rPr>
        <w:t xml:space="preserve">: </w:t>
      </w:r>
      <w:r w:rsidR="00135414">
        <w:rPr>
          <w:rFonts w:cstheme="minorHAnsi"/>
        </w:rPr>
        <w:t>11</w:t>
      </w:r>
    </w:p>
    <w:p w14:paraId="17B624D0" w14:textId="22B84F22" w:rsidR="00576877" w:rsidRPr="00062256" w:rsidRDefault="00576877" w:rsidP="00576877">
      <w:pPr>
        <w:pStyle w:val="ListParagraph"/>
        <w:numPr>
          <w:ilvl w:val="0"/>
          <w:numId w:val="36"/>
        </w:numPr>
        <w:rPr>
          <w:rFonts w:cstheme="minorHAnsi"/>
        </w:rPr>
      </w:pPr>
      <w:r w:rsidRPr="00062256">
        <w:rPr>
          <w:rFonts w:cstheme="minorHAnsi"/>
        </w:rPr>
        <w:t>Medium</w:t>
      </w:r>
      <w:r>
        <w:rPr>
          <w:rFonts w:cstheme="minorHAnsi"/>
        </w:rPr>
        <w:t xml:space="preserve">: </w:t>
      </w:r>
      <w:r w:rsidR="0085297C">
        <w:rPr>
          <w:rFonts w:cstheme="minorHAnsi"/>
        </w:rPr>
        <w:t>4</w:t>
      </w:r>
      <w:r w:rsidR="00907A9E">
        <w:rPr>
          <w:rFonts w:cstheme="minorHAnsi"/>
        </w:rPr>
        <w:t>3</w:t>
      </w:r>
    </w:p>
    <w:p w14:paraId="41AF0D6A" w14:textId="0EA10E1B" w:rsidR="00576877" w:rsidRPr="00062256" w:rsidRDefault="00576877" w:rsidP="00576877">
      <w:pPr>
        <w:pStyle w:val="ListParagraph"/>
        <w:numPr>
          <w:ilvl w:val="0"/>
          <w:numId w:val="36"/>
        </w:numPr>
        <w:rPr>
          <w:rFonts w:cstheme="minorHAnsi"/>
        </w:rPr>
      </w:pPr>
      <w:r w:rsidRPr="00062256">
        <w:rPr>
          <w:rFonts w:cstheme="minorHAnsi"/>
        </w:rPr>
        <w:t>High</w:t>
      </w:r>
      <w:r>
        <w:rPr>
          <w:rFonts w:cstheme="minorHAnsi"/>
        </w:rPr>
        <w:t>:</w:t>
      </w:r>
      <w:r w:rsidR="008A619D">
        <w:rPr>
          <w:rFonts w:cstheme="minorHAnsi"/>
        </w:rPr>
        <w:t xml:space="preserve"> </w:t>
      </w:r>
      <w:r w:rsidR="00135414">
        <w:rPr>
          <w:rFonts w:cstheme="minorHAnsi"/>
        </w:rPr>
        <w:t>6</w:t>
      </w:r>
    </w:p>
    <w:p w14:paraId="5C7C4FEA" w14:textId="1723C856" w:rsidR="00F36562" w:rsidRPr="004B47D0" w:rsidRDefault="00576877" w:rsidP="00F36562">
      <w:pPr>
        <w:pStyle w:val="ListParagraph"/>
        <w:numPr>
          <w:ilvl w:val="0"/>
          <w:numId w:val="36"/>
        </w:numPr>
        <w:rPr>
          <w:rFonts w:cstheme="minorHAnsi"/>
        </w:rPr>
      </w:pPr>
      <w:r w:rsidRPr="00062256">
        <w:rPr>
          <w:rFonts w:cstheme="minorHAnsi"/>
        </w:rPr>
        <w:t>Extreme</w:t>
      </w:r>
      <w:r>
        <w:rPr>
          <w:rFonts w:cstheme="minorHAnsi"/>
        </w:rPr>
        <w:t xml:space="preserve">: </w:t>
      </w:r>
      <w:r w:rsidR="001047A5">
        <w:rPr>
          <w:rFonts w:cstheme="minorHAnsi"/>
        </w:rPr>
        <w:t>0</w:t>
      </w:r>
    </w:p>
    <w:p w14:paraId="694EC338" w14:textId="2A8F74B0" w:rsidR="00F36562" w:rsidRDefault="00F36562" w:rsidP="00F36562">
      <w:pPr>
        <w:rPr>
          <w:b/>
          <w:bCs/>
          <w:sz w:val="28"/>
          <w:szCs w:val="28"/>
        </w:rPr>
      </w:pPr>
      <w:r>
        <w:rPr>
          <w:b/>
          <w:bCs/>
          <w:sz w:val="28"/>
          <w:szCs w:val="28"/>
        </w:rPr>
        <w:t>Conclusion</w:t>
      </w:r>
    </w:p>
    <w:p w14:paraId="0DA4211A" w14:textId="77777777" w:rsidR="00F36562" w:rsidRDefault="00F36562" w:rsidP="00F36562">
      <w:pPr>
        <w:jc w:val="both"/>
        <w:rPr>
          <w:rFonts w:cstheme="minorHAnsi"/>
        </w:rPr>
      </w:pPr>
      <w:r>
        <w:rPr>
          <w:rFonts w:cstheme="minorHAnsi"/>
        </w:rPr>
        <w:t>The Risk Management Assessment is a useful tool to discuss excess organizational threats. By doing this, the organization will be better positioned to address challenges as they emerge. It is not possible to eliminate all risks, however, if the risk can be adequately managed, then the interests of NSFM will be protected, either through awareness, education, policy, procedures, procurement, or professional development.</w:t>
      </w:r>
    </w:p>
    <w:p w14:paraId="6C96892E" w14:textId="77777777" w:rsidR="00F36562" w:rsidRPr="006A16D7" w:rsidRDefault="00F36562" w:rsidP="00F36562">
      <w:pPr>
        <w:jc w:val="both"/>
        <w:rPr>
          <w:rFonts w:cstheme="minorHAnsi"/>
        </w:rPr>
      </w:pPr>
      <w:r w:rsidRPr="006A16D7">
        <w:rPr>
          <w:rFonts w:cstheme="minorHAnsi"/>
        </w:rPr>
        <w:t>As a result of the assessment, the highest risks facing the organization are:</w:t>
      </w:r>
    </w:p>
    <w:p w14:paraId="492FE5C5" w14:textId="65CBE443" w:rsidR="00DE31C3" w:rsidRPr="006A16D7" w:rsidRDefault="00DE31C3" w:rsidP="00F36562">
      <w:pPr>
        <w:pStyle w:val="ListParagraph"/>
        <w:numPr>
          <w:ilvl w:val="0"/>
          <w:numId w:val="39"/>
        </w:numPr>
        <w:rPr>
          <w:rFonts w:ascii="Calibri" w:eastAsia="Times New Roman" w:hAnsi="Calibri" w:cs="Calibri"/>
          <w:color w:val="000000"/>
        </w:rPr>
      </w:pPr>
      <w:r w:rsidRPr="006A16D7">
        <w:rPr>
          <w:rFonts w:ascii="Calibri" w:eastAsia="Times New Roman" w:hAnsi="Calibri" w:cs="Calibri"/>
          <w:color w:val="000000"/>
        </w:rPr>
        <w:t>Lack of revenue diversification (finance)</w:t>
      </w:r>
    </w:p>
    <w:p w14:paraId="6FD7AEB9" w14:textId="7D839FB6" w:rsidR="00BF31A9" w:rsidRPr="006A16D7" w:rsidRDefault="00BF31A9" w:rsidP="00F36562">
      <w:pPr>
        <w:pStyle w:val="ListParagraph"/>
        <w:numPr>
          <w:ilvl w:val="0"/>
          <w:numId w:val="39"/>
        </w:numPr>
        <w:rPr>
          <w:rFonts w:ascii="Calibri" w:eastAsia="Times New Roman" w:hAnsi="Calibri" w:cs="Calibri"/>
          <w:color w:val="000000"/>
        </w:rPr>
      </w:pPr>
      <w:r w:rsidRPr="006A16D7">
        <w:rPr>
          <w:rFonts w:ascii="Calibri" w:eastAsia="Times New Roman" w:hAnsi="Calibri" w:cs="Calibri"/>
          <w:color w:val="000000"/>
        </w:rPr>
        <w:t>Policy incongruence with Province or stakeholders</w:t>
      </w:r>
      <w:r w:rsidR="006A16D7" w:rsidRPr="006A16D7">
        <w:rPr>
          <w:rFonts w:ascii="Calibri" w:eastAsia="Times New Roman" w:hAnsi="Calibri" w:cs="Calibri"/>
          <w:color w:val="000000"/>
        </w:rPr>
        <w:t xml:space="preserve"> (governance)</w:t>
      </w:r>
    </w:p>
    <w:p w14:paraId="49CB83B6" w14:textId="4EDACCFE" w:rsidR="006A16D7" w:rsidRPr="006A16D7" w:rsidRDefault="006A16D7" w:rsidP="006A16D7">
      <w:pPr>
        <w:pStyle w:val="ListParagraph"/>
        <w:numPr>
          <w:ilvl w:val="0"/>
          <w:numId w:val="39"/>
        </w:numPr>
        <w:rPr>
          <w:rFonts w:ascii="Calibri" w:eastAsia="Times New Roman" w:hAnsi="Calibri" w:cs="Calibri"/>
          <w:color w:val="000000"/>
        </w:rPr>
      </w:pPr>
      <w:r w:rsidRPr="006A16D7">
        <w:rPr>
          <w:rFonts w:ascii="Calibri" w:eastAsia="Times New Roman" w:hAnsi="Calibri" w:cs="Calibri"/>
          <w:color w:val="000000"/>
        </w:rPr>
        <w:t>Political activity/affiliation of Board members (governance)</w:t>
      </w:r>
    </w:p>
    <w:p w14:paraId="2384EDF3" w14:textId="4401DCC6" w:rsidR="006A16D7" w:rsidRPr="006A16D7" w:rsidRDefault="006A16D7" w:rsidP="006A16D7">
      <w:pPr>
        <w:pStyle w:val="ListParagraph"/>
        <w:numPr>
          <w:ilvl w:val="0"/>
          <w:numId w:val="39"/>
        </w:numPr>
        <w:rPr>
          <w:rFonts w:ascii="Calibri" w:eastAsia="Times New Roman" w:hAnsi="Calibri" w:cs="Calibri"/>
          <w:color w:val="000000"/>
        </w:rPr>
      </w:pPr>
      <w:r w:rsidRPr="006A16D7">
        <w:rPr>
          <w:rFonts w:ascii="Calibri" w:eastAsia="Times New Roman" w:hAnsi="Calibri" w:cs="Calibri"/>
          <w:color w:val="000000"/>
        </w:rPr>
        <w:t>Deterioration of relationship with AMANS (reputation)</w:t>
      </w:r>
    </w:p>
    <w:p w14:paraId="01112DC3" w14:textId="77777777" w:rsidR="00F36562" w:rsidRPr="006A16D7" w:rsidRDefault="00F36562" w:rsidP="00F36562">
      <w:pPr>
        <w:pStyle w:val="ListParagraph"/>
        <w:numPr>
          <w:ilvl w:val="0"/>
          <w:numId w:val="39"/>
        </w:numPr>
        <w:rPr>
          <w:rFonts w:ascii="Calibri" w:eastAsia="Times New Roman" w:hAnsi="Calibri" w:cs="Calibri"/>
          <w:color w:val="000000"/>
        </w:rPr>
      </w:pPr>
      <w:r w:rsidRPr="006A16D7">
        <w:rPr>
          <w:rFonts w:ascii="Calibri" w:eastAsia="Times New Roman" w:hAnsi="Calibri" w:cs="Calibri"/>
          <w:color w:val="000000"/>
        </w:rPr>
        <w:t>Deterioration of relationship with provincial government (reputation)</w:t>
      </w:r>
    </w:p>
    <w:p w14:paraId="0B1546BE" w14:textId="77777777" w:rsidR="00F36562" w:rsidRPr="006A16D7" w:rsidRDefault="00F36562" w:rsidP="00F36562">
      <w:pPr>
        <w:pStyle w:val="ListParagraph"/>
        <w:numPr>
          <w:ilvl w:val="0"/>
          <w:numId w:val="39"/>
        </w:numPr>
        <w:rPr>
          <w:rFonts w:ascii="Calibri" w:eastAsia="Times New Roman" w:hAnsi="Calibri" w:cs="Calibri"/>
          <w:color w:val="000000"/>
        </w:rPr>
      </w:pPr>
      <w:r w:rsidRPr="006A16D7">
        <w:rPr>
          <w:rFonts w:ascii="Calibri" w:eastAsia="Times New Roman" w:hAnsi="Calibri" w:cs="Calibri"/>
          <w:color w:val="000000"/>
        </w:rPr>
        <w:t>Impact of municipal positions/policy on the Board or Board members (reputation)</w:t>
      </w:r>
    </w:p>
    <w:p w14:paraId="4A47A3A4" w14:textId="08DD6AD8" w:rsidR="00F36562" w:rsidRDefault="00C3309E" w:rsidP="00F36562">
      <w:pPr>
        <w:rPr>
          <w:rFonts w:cstheme="minorHAnsi"/>
        </w:rPr>
      </w:pPr>
      <w:r>
        <w:rPr>
          <w:rFonts w:cstheme="minorHAnsi"/>
        </w:rPr>
        <w:t>A possible emerging risk related to the NSFM Health &amp; Dental Plan, which is one of the organization’s key programs. Th</w:t>
      </w:r>
      <w:r w:rsidR="00766F07">
        <w:rPr>
          <w:rFonts w:cstheme="minorHAnsi"/>
        </w:rPr>
        <w:t xml:space="preserve">e possibility exists </w:t>
      </w:r>
      <w:r w:rsidR="000E308C">
        <w:rPr>
          <w:rFonts w:cstheme="minorHAnsi"/>
        </w:rPr>
        <w:t xml:space="preserve">that </w:t>
      </w:r>
      <w:r w:rsidR="00766F07">
        <w:rPr>
          <w:rFonts w:cstheme="minorHAnsi"/>
        </w:rPr>
        <w:t>competition to this plan may emerge over the next few years.</w:t>
      </w:r>
    </w:p>
    <w:p w14:paraId="660B9D01" w14:textId="77777777" w:rsidR="00F36562" w:rsidRDefault="00F36562" w:rsidP="00576877">
      <w:pPr>
        <w:rPr>
          <w:rFonts w:cstheme="minorHAnsi"/>
        </w:rPr>
      </w:pPr>
    </w:p>
    <w:p w14:paraId="54E9E462" w14:textId="77777777" w:rsidR="000B5E9B" w:rsidRDefault="000B5E9B" w:rsidP="00576877">
      <w:pPr>
        <w:rPr>
          <w:b/>
          <w:bCs/>
          <w:sz w:val="28"/>
          <w:szCs w:val="28"/>
        </w:rPr>
      </w:pPr>
    </w:p>
    <w:tbl>
      <w:tblPr>
        <w:tblpPr w:leftFromText="180" w:rightFromText="180" w:vertAnchor="text" w:horzAnchor="page" w:tblpX="1" w:tblpY="-1439"/>
        <w:tblW w:w="14998" w:type="dxa"/>
        <w:tblLook w:val="04A0" w:firstRow="1" w:lastRow="0" w:firstColumn="1" w:lastColumn="0" w:noHBand="0" w:noVBand="1"/>
      </w:tblPr>
      <w:tblGrid>
        <w:gridCol w:w="1776"/>
        <w:gridCol w:w="2118"/>
        <w:gridCol w:w="1596"/>
        <w:gridCol w:w="1576"/>
        <w:gridCol w:w="1776"/>
        <w:gridCol w:w="6156"/>
      </w:tblGrid>
      <w:tr w:rsidR="008D287C" w:rsidRPr="008D287C" w14:paraId="0FC9AB9E" w14:textId="77777777" w:rsidTr="008D287C">
        <w:trPr>
          <w:trHeight w:val="312"/>
        </w:trPr>
        <w:tc>
          <w:tcPr>
            <w:tcW w:w="1776" w:type="dxa"/>
            <w:tcBorders>
              <w:top w:val="nil"/>
              <w:left w:val="nil"/>
              <w:bottom w:val="nil"/>
              <w:right w:val="nil"/>
            </w:tcBorders>
            <w:noWrap/>
            <w:vAlign w:val="center"/>
            <w:hideMark/>
          </w:tcPr>
          <w:p w14:paraId="01F49ACE" w14:textId="3F59F2B9" w:rsidR="00CF4A47" w:rsidRDefault="00CF4A47" w:rsidP="008D287C">
            <w:pPr>
              <w:spacing w:after="0" w:line="240" w:lineRule="auto"/>
              <w:jc w:val="both"/>
              <w:rPr>
                <w:rFonts w:ascii="Calibri" w:eastAsia="Times New Roman" w:hAnsi="Calibri" w:cs="Calibri"/>
                <w:b/>
                <w:bCs/>
                <w:color w:val="000000"/>
                <w:sz w:val="24"/>
                <w:szCs w:val="24"/>
              </w:rPr>
            </w:pPr>
          </w:p>
          <w:p w14:paraId="3090F66C" w14:textId="02101B61" w:rsidR="0055242D" w:rsidRDefault="0055242D" w:rsidP="008D287C">
            <w:pPr>
              <w:spacing w:after="0" w:line="240" w:lineRule="auto"/>
              <w:jc w:val="both"/>
              <w:rPr>
                <w:rFonts w:ascii="Calibri" w:eastAsia="Times New Roman" w:hAnsi="Calibri" w:cs="Calibri"/>
                <w:b/>
                <w:bCs/>
                <w:color w:val="000000"/>
                <w:sz w:val="24"/>
                <w:szCs w:val="24"/>
              </w:rPr>
            </w:pPr>
            <w:r>
              <w:rPr>
                <w:rFonts w:ascii="Calibri" w:eastAsia="Times New Roman" w:hAnsi="Calibri" w:cs="Calibri"/>
                <w:b/>
                <w:bCs/>
                <w:color w:val="000000"/>
                <w:sz w:val="24"/>
                <w:szCs w:val="24"/>
              </w:rPr>
              <w:t>Assessment</w:t>
            </w:r>
          </w:p>
          <w:p w14:paraId="74FBF262" w14:textId="77777777" w:rsidR="00CF4A47" w:rsidRDefault="00CF4A47" w:rsidP="008D287C">
            <w:pPr>
              <w:spacing w:after="0" w:line="240" w:lineRule="auto"/>
              <w:jc w:val="both"/>
              <w:rPr>
                <w:rFonts w:ascii="Calibri" w:eastAsia="Times New Roman" w:hAnsi="Calibri" w:cs="Calibri"/>
                <w:b/>
                <w:bCs/>
                <w:color w:val="000000"/>
                <w:sz w:val="24"/>
                <w:szCs w:val="24"/>
              </w:rPr>
            </w:pPr>
          </w:p>
          <w:p w14:paraId="4EFB1431" w14:textId="77777777" w:rsidR="0055242D" w:rsidRDefault="0055242D" w:rsidP="008D287C">
            <w:pPr>
              <w:spacing w:after="0" w:line="240" w:lineRule="auto"/>
              <w:jc w:val="both"/>
              <w:rPr>
                <w:rFonts w:ascii="Calibri" w:eastAsia="Times New Roman" w:hAnsi="Calibri" w:cs="Calibri"/>
                <w:b/>
                <w:bCs/>
                <w:color w:val="000000"/>
                <w:sz w:val="24"/>
                <w:szCs w:val="24"/>
              </w:rPr>
            </w:pPr>
          </w:p>
          <w:p w14:paraId="774DE0FF" w14:textId="77777777" w:rsidR="00CF4A47" w:rsidRDefault="00CF4A47" w:rsidP="008D287C">
            <w:pPr>
              <w:spacing w:after="0" w:line="240" w:lineRule="auto"/>
              <w:jc w:val="both"/>
              <w:rPr>
                <w:rFonts w:ascii="Calibri" w:eastAsia="Times New Roman" w:hAnsi="Calibri" w:cs="Calibri"/>
                <w:b/>
                <w:bCs/>
                <w:color w:val="000000"/>
                <w:sz w:val="24"/>
                <w:szCs w:val="24"/>
              </w:rPr>
            </w:pPr>
          </w:p>
          <w:p w14:paraId="44DF1F41" w14:textId="008E89EC" w:rsidR="008D287C" w:rsidRPr="008D287C" w:rsidRDefault="008D287C" w:rsidP="008D287C">
            <w:pPr>
              <w:spacing w:after="0" w:line="240" w:lineRule="auto"/>
              <w:jc w:val="both"/>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Category</w:t>
            </w:r>
          </w:p>
        </w:tc>
        <w:tc>
          <w:tcPr>
            <w:tcW w:w="2118" w:type="dxa"/>
            <w:tcBorders>
              <w:top w:val="nil"/>
              <w:left w:val="nil"/>
              <w:bottom w:val="nil"/>
              <w:right w:val="nil"/>
            </w:tcBorders>
            <w:noWrap/>
            <w:vAlign w:val="center"/>
            <w:hideMark/>
          </w:tcPr>
          <w:p w14:paraId="3EBED0C9"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Risk</w:t>
            </w:r>
          </w:p>
        </w:tc>
        <w:tc>
          <w:tcPr>
            <w:tcW w:w="1596" w:type="dxa"/>
            <w:tcBorders>
              <w:top w:val="nil"/>
              <w:left w:val="nil"/>
              <w:bottom w:val="nil"/>
              <w:right w:val="nil"/>
            </w:tcBorders>
            <w:noWrap/>
            <w:vAlign w:val="center"/>
            <w:hideMark/>
          </w:tcPr>
          <w:p w14:paraId="395C967F"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Likelihood</w:t>
            </w:r>
          </w:p>
        </w:tc>
        <w:tc>
          <w:tcPr>
            <w:tcW w:w="1576" w:type="dxa"/>
            <w:tcBorders>
              <w:top w:val="nil"/>
              <w:left w:val="nil"/>
              <w:bottom w:val="nil"/>
              <w:right w:val="nil"/>
            </w:tcBorders>
            <w:noWrap/>
            <w:vAlign w:val="center"/>
            <w:hideMark/>
          </w:tcPr>
          <w:p w14:paraId="30065A0F"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Impact</w:t>
            </w:r>
          </w:p>
        </w:tc>
        <w:tc>
          <w:tcPr>
            <w:tcW w:w="1776" w:type="dxa"/>
            <w:tcBorders>
              <w:top w:val="nil"/>
              <w:left w:val="nil"/>
              <w:bottom w:val="nil"/>
              <w:right w:val="nil"/>
            </w:tcBorders>
            <w:noWrap/>
            <w:vAlign w:val="center"/>
            <w:hideMark/>
          </w:tcPr>
          <w:p w14:paraId="7EB9B5B5"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Rating</w:t>
            </w:r>
          </w:p>
        </w:tc>
        <w:tc>
          <w:tcPr>
            <w:tcW w:w="6156" w:type="dxa"/>
            <w:tcBorders>
              <w:top w:val="nil"/>
              <w:left w:val="nil"/>
              <w:bottom w:val="nil"/>
              <w:right w:val="nil"/>
            </w:tcBorders>
            <w:noWrap/>
            <w:vAlign w:val="center"/>
            <w:hideMark/>
          </w:tcPr>
          <w:p w14:paraId="357CCCCD" w14:textId="77777777" w:rsidR="008D287C" w:rsidRPr="008D287C" w:rsidRDefault="008D287C" w:rsidP="008D287C">
            <w:pPr>
              <w:spacing w:after="0" w:line="240" w:lineRule="auto"/>
              <w:jc w:val="both"/>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Mitigation Strategy</w:t>
            </w:r>
          </w:p>
        </w:tc>
      </w:tr>
      <w:tr w:rsidR="008D287C" w:rsidRPr="008D287C" w14:paraId="4C11D8BC" w14:textId="77777777" w:rsidTr="008D287C">
        <w:trPr>
          <w:trHeight w:val="300"/>
        </w:trPr>
        <w:tc>
          <w:tcPr>
            <w:tcW w:w="1776" w:type="dxa"/>
            <w:tcBorders>
              <w:top w:val="nil"/>
              <w:left w:val="nil"/>
              <w:bottom w:val="nil"/>
              <w:right w:val="nil"/>
            </w:tcBorders>
            <w:noWrap/>
            <w:vAlign w:val="bottom"/>
            <w:hideMark/>
          </w:tcPr>
          <w:p w14:paraId="46C98964" w14:textId="77777777" w:rsidR="008D287C" w:rsidRPr="008D287C" w:rsidRDefault="008D287C" w:rsidP="008D287C">
            <w:pPr>
              <w:spacing w:after="0" w:line="240" w:lineRule="auto"/>
              <w:jc w:val="both"/>
              <w:rPr>
                <w:rFonts w:ascii="Calibri" w:eastAsia="Times New Roman" w:hAnsi="Calibri" w:cs="Calibri"/>
                <w:b/>
                <w:bCs/>
                <w:color w:val="000000"/>
                <w:sz w:val="24"/>
                <w:szCs w:val="24"/>
              </w:rPr>
            </w:pPr>
          </w:p>
        </w:tc>
        <w:tc>
          <w:tcPr>
            <w:tcW w:w="2118" w:type="dxa"/>
            <w:tcBorders>
              <w:top w:val="nil"/>
              <w:left w:val="nil"/>
              <w:bottom w:val="nil"/>
              <w:right w:val="nil"/>
            </w:tcBorders>
            <w:noWrap/>
            <w:vAlign w:val="bottom"/>
            <w:hideMark/>
          </w:tcPr>
          <w:p w14:paraId="3CA8959F" w14:textId="77777777" w:rsidR="008D287C" w:rsidRPr="008D287C" w:rsidRDefault="008D287C" w:rsidP="008D287C">
            <w:pPr>
              <w:spacing w:after="0" w:line="240" w:lineRule="auto"/>
              <w:rPr>
                <w:rFonts w:ascii="Times New Roman" w:eastAsia="Times New Roman" w:hAnsi="Times New Roman" w:cs="Times New Roman"/>
                <w:sz w:val="20"/>
                <w:szCs w:val="20"/>
              </w:rPr>
            </w:pPr>
          </w:p>
        </w:tc>
        <w:tc>
          <w:tcPr>
            <w:tcW w:w="1596" w:type="dxa"/>
            <w:tcBorders>
              <w:top w:val="nil"/>
              <w:left w:val="nil"/>
              <w:bottom w:val="nil"/>
              <w:right w:val="nil"/>
            </w:tcBorders>
            <w:noWrap/>
            <w:vAlign w:val="bottom"/>
            <w:hideMark/>
          </w:tcPr>
          <w:p w14:paraId="2A80DBDD" w14:textId="77777777" w:rsidR="008D287C" w:rsidRPr="008D287C" w:rsidRDefault="008D287C" w:rsidP="008D287C">
            <w:pPr>
              <w:spacing w:after="0" w:line="240" w:lineRule="auto"/>
              <w:rPr>
                <w:rFonts w:ascii="Times New Roman" w:eastAsia="Times New Roman" w:hAnsi="Times New Roman" w:cs="Times New Roman"/>
                <w:sz w:val="20"/>
                <w:szCs w:val="20"/>
              </w:rPr>
            </w:pPr>
          </w:p>
        </w:tc>
        <w:tc>
          <w:tcPr>
            <w:tcW w:w="1576" w:type="dxa"/>
            <w:tcBorders>
              <w:top w:val="nil"/>
              <w:left w:val="nil"/>
              <w:bottom w:val="nil"/>
              <w:right w:val="nil"/>
            </w:tcBorders>
            <w:noWrap/>
            <w:vAlign w:val="bottom"/>
            <w:hideMark/>
          </w:tcPr>
          <w:p w14:paraId="2C7F84BA" w14:textId="77777777" w:rsidR="008D287C" w:rsidRPr="008D287C" w:rsidRDefault="008D287C" w:rsidP="008D287C">
            <w:pPr>
              <w:spacing w:after="0" w:line="240" w:lineRule="auto"/>
              <w:rPr>
                <w:rFonts w:ascii="Times New Roman" w:eastAsia="Times New Roman" w:hAnsi="Times New Roman" w:cs="Times New Roman"/>
                <w:sz w:val="20"/>
                <w:szCs w:val="20"/>
              </w:rPr>
            </w:pPr>
          </w:p>
        </w:tc>
        <w:tc>
          <w:tcPr>
            <w:tcW w:w="1776" w:type="dxa"/>
            <w:tcBorders>
              <w:top w:val="nil"/>
              <w:left w:val="nil"/>
              <w:bottom w:val="nil"/>
              <w:right w:val="nil"/>
            </w:tcBorders>
            <w:noWrap/>
            <w:vAlign w:val="bottom"/>
            <w:hideMark/>
          </w:tcPr>
          <w:p w14:paraId="3313AC70" w14:textId="77777777" w:rsidR="008D287C" w:rsidRPr="008D287C" w:rsidRDefault="008D287C" w:rsidP="008D287C">
            <w:pPr>
              <w:spacing w:after="0" w:line="240" w:lineRule="auto"/>
              <w:rPr>
                <w:rFonts w:ascii="Times New Roman" w:eastAsia="Times New Roman" w:hAnsi="Times New Roman" w:cs="Times New Roman"/>
                <w:sz w:val="20"/>
                <w:szCs w:val="20"/>
              </w:rPr>
            </w:pPr>
          </w:p>
        </w:tc>
        <w:tc>
          <w:tcPr>
            <w:tcW w:w="6156" w:type="dxa"/>
            <w:tcBorders>
              <w:top w:val="nil"/>
              <w:left w:val="nil"/>
              <w:bottom w:val="nil"/>
              <w:right w:val="nil"/>
            </w:tcBorders>
            <w:noWrap/>
            <w:vAlign w:val="bottom"/>
            <w:hideMark/>
          </w:tcPr>
          <w:p w14:paraId="14CB0880" w14:textId="77777777" w:rsidR="008D287C" w:rsidRPr="008D287C" w:rsidRDefault="008D287C" w:rsidP="008D287C">
            <w:pPr>
              <w:spacing w:after="0" w:line="240" w:lineRule="auto"/>
              <w:rPr>
                <w:rFonts w:ascii="Times New Roman" w:eastAsia="Times New Roman" w:hAnsi="Times New Roman" w:cs="Times New Roman"/>
                <w:sz w:val="20"/>
                <w:szCs w:val="20"/>
              </w:rPr>
            </w:pPr>
          </w:p>
        </w:tc>
      </w:tr>
      <w:tr w:rsidR="008D287C" w:rsidRPr="008D287C" w14:paraId="5EC9F6C3" w14:textId="77777777" w:rsidTr="008D287C">
        <w:trPr>
          <w:trHeight w:val="1992"/>
        </w:trPr>
        <w:tc>
          <w:tcPr>
            <w:tcW w:w="1776" w:type="dxa"/>
            <w:tcBorders>
              <w:top w:val="single" w:sz="8" w:space="0" w:color="auto"/>
              <w:left w:val="nil"/>
              <w:bottom w:val="nil"/>
              <w:right w:val="single" w:sz="8" w:space="0" w:color="auto"/>
            </w:tcBorders>
            <w:vAlign w:val="center"/>
            <w:hideMark/>
          </w:tcPr>
          <w:p w14:paraId="63B49403"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Conference &amp; Events Program</w:t>
            </w:r>
          </w:p>
        </w:tc>
        <w:tc>
          <w:tcPr>
            <w:tcW w:w="2118" w:type="dxa"/>
            <w:tcBorders>
              <w:top w:val="single" w:sz="8" w:space="0" w:color="auto"/>
              <w:left w:val="nil"/>
              <w:bottom w:val="single" w:sz="8" w:space="0" w:color="auto"/>
              <w:right w:val="single" w:sz="8" w:space="0" w:color="auto"/>
            </w:tcBorders>
            <w:vAlign w:val="center"/>
            <w:hideMark/>
          </w:tcPr>
          <w:p w14:paraId="219F30A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Consumption of alcohol</w:t>
            </w:r>
          </w:p>
        </w:tc>
        <w:tc>
          <w:tcPr>
            <w:tcW w:w="1596" w:type="dxa"/>
            <w:tcBorders>
              <w:top w:val="single" w:sz="8" w:space="0" w:color="auto"/>
              <w:left w:val="nil"/>
              <w:bottom w:val="single" w:sz="8" w:space="0" w:color="auto"/>
              <w:right w:val="single" w:sz="8" w:space="0" w:color="auto"/>
            </w:tcBorders>
            <w:vAlign w:val="center"/>
            <w:hideMark/>
          </w:tcPr>
          <w:p w14:paraId="7319356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single" w:sz="8" w:space="0" w:color="auto"/>
              <w:left w:val="nil"/>
              <w:bottom w:val="single" w:sz="8" w:space="0" w:color="auto"/>
              <w:right w:val="single" w:sz="8" w:space="0" w:color="auto"/>
            </w:tcBorders>
            <w:vAlign w:val="center"/>
            <w:hideMark/>
          </w:tcPr>
          <w:p w14:paraId="2923857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single" w:sz="8" w:space="0" w:color="auto"/>
              <w:left w:val="nil"/>
              <w:bottom w:val="single" w:sz="8" w:space="0" w:color="auto"/>
              <w:right w:val="single" w:sz="8" w:space="0" w:color="auto"/>
            </w:tcBorders>
            <w:shd w:val="clear" w:color="000000" w:fill="FFFF00"/>
            <w:vAlign w:val="center"/>
            <w:hideMark/>
          </w:tcPr>
          <w:p w14:paraId="52C50605"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single" w:sz="8" w:space="0" w:color="auto"/>
              <w:left w:val="nil"/>
              <w:bottom w:val="single" w:sz="8" w:space="0" w:color="auto"/>
              <w:right w:val="single" w:sz="8" w:space="0" w:color="auto"/>
            </w:tcBorders>
            <w:vAlign w:val="center"/>
            <w:hideMark/>
          </w:tcPr>
          <w:p w14:paraId="6B84C016" w14:textId="1AB9ADC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$5 million General Liability coverage including $5 million Tenants Legal Liability coverage in place; Code of Conduct for volunteers, staff, Board, and participants</w:t>
            </w:r>
            <w:r w:rsidR="000B185C">
              <w:rPr>
                <w:rFonts w:ascii="Calibri" w:eastAsia="Times New Roman" w:hAnsi="Calibri" w:cs="Calibri"/>
                <w:color w:val="000000"/>
                <w:sz w:val="20"/>
                <w:szCs w:val="20"/>
              </w:rPr>
              <w:t>.</w:t>
            </w:r>
          </w:p>
        </w:tc>
      </w:tr>
      <w:tr w:rsidR="008D287C" w:rsidRPr="008D287C" w14:paraId="34D82BA8" w14:textId="77777777" w:rsidTr="008D287C">
        <w:trPr>
          <w:trHeight w:val="3324"/>
        </w:trPr>
        <w:tc>
          <w:tcPr>
            <w:tcW w:w="1776" w:type="dxa"/>
            <w:tcBorders>
              <w:top w:val="nil"/>
              <w:left w:val="nil"/>
              <w:bottom w:val="nil"/>
              <w:right w:val="nil"/>
            </w:tcBorders>
            <w:hideMark/>
          </w:tcPr>
          <w:p w14:paraId="050C90E7"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4E1F9D4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Liability at events</w:t>
            </w:r>
          </w:p>
        </w:tc>
        <w:tc>
          <w:tcPr>
            <w:tcW w:w="1596" w:type="dxa"/>
            <w:tcBorders>
              <w:top w:val="nil"/>
              <w:left w:val="nil"/>
              <w:bottom w:val="single" w:sz="8" w:space="0" w:color="auto"/>
              <w:right w:val="single" w:sz="8" w:space="0" w:color="auto"/>
            </w:tcBorders>
            <w:vAlign w:val="center"/>
            <w:hideMark/>
          </w:tcPr>
          <w:p w14:paraId="2DE1587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Unlikely</w:t>
            </w:r>
          </w:p>
        </w:tc>
        <w:tc>
          <w:tcPr>
            <w:tcW w:w="1576" w:type="dxa"/>
            <w:tcBorders>
              <w:top w:val="nil"/>
              <w:left w:val="nil"/>
              <w:bottom w:val="single" w:sz="8" w:space="0" w:color="auto"/>
              <w:right w:val="single" w:sz="8" w:space="0" w:color="auto"/>
            </w:tcBorders>
            <w:vAlign w:val="center"/>
            <w:hideMark/>
          </w:tcPr>
          <w:p w14:paraId="390C163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70AD47"/>
            <w:vAlign w:val="center"/>
            <w:hideMark/>
          </w:tcPr>
          <w:p w14:paraId="1FBC0F6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nil"/>
              <w:left w:val="nil"/>
              <w:bottom w:val="single" w:sz="8" w:space="0" w:color="auto"/>
              <w:right w:val="single" w:sz="8" w:space="0" w:color="auto"/>
            </w:tcBorders>
            <w:vAlign w:val="center"/>
            <w:hideMark/>
          </w:tcPr>
          <w:p w14:paraId="2B80A990" w14:textId="19B6E9FA" w:rsidR="00E72AFF" w:rsidRPr="00E72AFF" w:rsidRDefault="008D287C" w:rsidP="00E72AFF">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$5 million General Liability coverage including $5 million Tenants Legal Liability coverage in place; risk assessment conducted at each event by NSFM staff; housekeeping announcements provided at live event re: exit locations. </w:t>
            </w:r>
            <w:r w:rsidR="00E72AFF" w:rsidRPr="00E72AFF">
              <w:rPr>
                <w:rFonts w:ascii="Calibri" w:eastAsia="Times New Roman" w:hAnsi="Calibri" w:cs="Calibri"/>
                <w:color w:val="000000"/>
                <w:sz w:val="20"/>
                <w:szCs w:val="20"/>
              </w:rPr>
              <w:t xml:space="preserve"> Manage written legal agreements with key event suppliers (venues, services, products) that clearly set out the duties and responsibilities of each party. Agreements require suppliers to indemnify, hold harmless, and defend NSFM, and to provide Certificates of Insurance showing adequate coverage with NSFM named as Additional Insured. </w:t>
            </w:r>
          </w:p>
          <w:p w14:paraId="0CA86FDD" w14:textId="01F5D2DB" w:rsidR="008D287C" w:rsidRPr="008D287C" w:rsidRDefault="008D287C" w:rsidP="008D287C">
            <w:pPr>
              <w:spacing w:after="0" w:line="240" w:lineRule="auto"/>
              <w:jc w:val="both"/>
              <w:rPr>
                <w:rFonts w:ascii="Calibri" w:eastAsia="Times New Roman" w:hAnsi="Calibri" w:cs="Calibri"/>
                <w:color w:val="000000"/>
                <w:sz w:val="20"/>
                <w:szCs w:val="20"/>
              </w:rPr>
            </w:pPr>
          </w:p>
        </w:tc>
      </w:tr>
      <w:tr w:rsidR="00022614" w:rsidRPr="008D287C" w14:paraId="4E2EE5FF" w14:textId="77777777" w:rsidTr="004B47D0">
        <w:trPr>
          <w:trHeight w:val="3324"/>
        </w:trPr>
        <w:tc>
          <w:tcPr>
            <w:tcW w:w="1776" w:type="dxa"/>
            <w:tcBorders>
              <w:top w:val="nil"/>
              <w:left w:val="nil"/>
              <w:bottom w:val="nil"/>
              <w:right w:val="nil"/>
            </w:tcBorders>
          </w:tcPr>
          <w:p w14:paraId="0549F947" w14:textId="77777777" w:rsidR="00022614" w:rsidRPr="008D287C" w:rsidRDefault="00022614"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4" w:space="0" w:color="auto"/>
              <w:right w:val="single" w:sz="8" w:space="0" w:color="auto"/>
            </w:tcBorders>
            <w:vAlign w:val="center"/>
          </w:tcPr>
          <w:p w14:paraId="01ECCFA5" w14:textId="62B2EA44" w:rsidR="00022614" w:rsidRPr="008D287C" w:rsidRDefault="00022614"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 xml:space="preserve">Security issue at an NSFM </w:t>
            </w:r>
            <w:r w:rsidR="00C65543">
              <w:rPr>
                <w:rFonts w:ascii="Calibri" w:eastAsia="Times New Roman" w:hAnsi="Calibri" w:cs="Calibri"/>
                <w:color w:val="000000"/>
                <w:sz w:val="20"/>
                <w:szCs w:val="20"/>
              </w:rPr>
              <w:t>Conference or E</w:t>
            </w:r>
            <w:r>
              <w:rPr>
                <w:rFonts w:ascii="Calibri" w:eastAsia="Times New Roman" w:hAnsi="Calibri" w:cs="Calibri"/>
                <w:color w:val="000000"/>
                <w:sz w:val="20"/>
                <w:szCs w:val="20"/>
              </w:rPr>
              <w:t>vent</w:t>
            </w:r>
          </w:p>
        </w:tc>
        <w:tc>
          <w:tcPr>
            <w:tcW w:w="1596" w:type="dxa"/>
            <w:tcBorders>
              <w:top w:val="nil"/>
              <w:left w:val="nil"/>
              <w:bottom w:val="single" w:sz="4" w:space="0" w:color="auto"/>
              <w:right w:val="single" w:sz="8" w:space="0" w:color="auto"/>
            </w:tcBorders>
            <w:vAlign w:val="center"/>
          </w:tcPr>
          <w:p w14:paraId="74E69EEA" w14:textId="5FB14CE7" w:rsidR="00022614" w:rsidRPr="008D287C" w:rsidRDefault="00FD14B9"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Possible</w:t>
            </w:r>
          </w:p>
        </w:tc>
        <w:tc>
          <w:tcPr>
            <w:tcW w:w="1576" w:type="dxa"/>
            <w:tcBorders>
              <w:top w:val="nil"/>
              <w:left w:val="nil"/>
              <w:bottom w:val="single" w:sz="4" w:space="0" w:color="auto"/>
              <w:right w:val="single" w:sz="8" w:space="0" w:color="auto"/>
            </w:tcBorders>
            <w:vAlign w:val="center"/>
          </w:tcPr>
          <w:p w14:paraId="4E6B7D22" w14:textId="42E73742" w:rsidR="00022614" w:rsidRPr="008D287C" w:rsidRDefault="00FD14B9"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Major</w:t>
            </w:r>
          </w:p>
        </w:tc>
        <w:tc>
          <w:tcPr>
            <w:tcW w:w="1776" w:type="dxa"/>
            <w:tcBorders>
              <w:top w:val="nil"/>
              <w:left w:val="nil"/>
              <w:bottom w:val="single" w:sz="4" w:space="0" w:color="auto"/>
              <w:right w:val="single" w:sz="8" w:space="0" w:color="auto"/>
            </w:tcBorders>
            <w:shd w:val="clear" w:color="auto" w:fill="FFFF00"/>
            <w:vAlign w:val="center"/>
          </w:tcPr>
          <w:p w14:paraId="0CAC5127" w14:textId="763BE257" w:rsidR="00022614" w:rsidRPr="008D287C" w:rsidRDefault="00FD14B9"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Medium</w:t>
            </w:r>
          </w:p>
        </w:tc>
        <w:tc>
          <w:tcPr>
            <w:tcW w:w="6156" w:type="dxa"/>
            <w:tcBorders>
              <w:top w:val="nil"/>
              <w:left w:val="nil"/>
              <w:bottom w:val="single" w:sz="4" w:space="0" w:color="auto"/>
              <w:right w:val="single" w:sz="8" w:space="0" w:color="auto"/>
            </w:tcBorders>
            <w:vAlign w:val="center"/>
          </w:tcPr>
          <w:p w14:paraId="49B209CD" w14:textId="70D0573F" w:rsidR="00022614" w:rsidRPr="008D287C" w:rsidRDefault="00FD14B9" w:rsidP="00E72AFF">
            <w:pPr>
              <w:spacing w:after="0" w:line="240" w:lineRule="auto"/>
              <w:jc w:val="both"/>
              <w:rPr>
                <w:rFonts w:ascii="Calibri" w:eastAsia="Times New Roman" w:hAnsi="Calibri" w:cs="Calibri"/>
                <w:color w:val="000000"/>
                <w:sz w:val="20"/>
                <w:szCs w:val="20"/>
              </w:rPr>
            </w:pPr>
            <w:r w:rsidRPr="00FD14B9">
              <w:rPr>
                <w:rFonts w:ascii="Calibri" w:eastAsia="Times New Roman" w:hAnsi="Calibri" w:cs="Calibri"/>
                <w:color w:val="000000"/>
                <w:sz w:val="20"/>
                <w:szCs w:val="20"/>
              </w:rPr>
              <w:t>Venue security are on hand and present; events are held on private property so event disrupters can be removed; event planner works closely with venue staff to identify/mitigate possible risks</w:t>
            </w:r>
          </w:p>
        </w:tc>
      </w:tr>
      <w:tr w:rsidR="008D287C" w:rsidRPr="008D287C" w14:paraId="79258353" w14:textId="77777777" w:rsidTr="004B47D0">
        <w:trPr>
          <w:trHeight w:val="3024"/>
        </w:trPr>
        <w:tc>
          <w:tcPr>
            <w:tcW w:w="1776" w:type="dxa"/>
            <w:tcBorders>
              <w:top w:val="nil"/>
              <w:left w:val="nil"/>
              <w:bottom w:val="single" w:sz="8" w:space="0" w:color="auto"/>
              <w:right w:val="nil"/>
            </w:tcBorders>
            <w:hideMark/>
          </w:tcPr>
          <w:p w14:paraId="640F929D" w14:textId="77777777" w:rsidR="008D287C" w:rsidRPr="008D287C" w:rsidRDefault="008D287C" w:rsidP="008D287C">
            <w:pPr>
              <w:spacing w:after="0" w:line="240" w:lineRule="auto"/>
              <w:rPr>
                <w:rFonts w:ascii="Calibri" w:eastAsia="Times New Roman" w:hAnsi="Calibri" w:cs="Calibri"/>
                <w:color w:val="000000"/>
              </w:rPr>
            </w:pPr>
            <w:r w:rsidRPr="008D287C">
              <w:rPr>
                <w:rFonts w:ascii="Calibri" w:eastAsia="Times New Roman" w:hAnsi="Calibri" w:cs="Calibri"/>
                <w:color w:val="000000"/>
              </w:rPr>
              <w:lastRenderedPageBreak/>
              <w:t> </w:t>
            </w:r>
          </w:p>
        </w:tc>
        <w:tc>
          <w:tcPr>
            <w:tcW w:w="2118" w:type="dxa"/>
            <w:tcBorders>
              <w:top w:val="single" w:sz="4" w:space="0" w:color="auto"/>
              <w:left w:val="single" w:sz="8" w:space="0" w:color="auto"/>
              <w:bottom w:val="single" w:sz="8" w:space="0" w:color="auto"/>
              <w:right w:val="single" w:sz="8" w:space="0" w:color="auto"/>
            </w:tcBorders>
            <w:vAlign w:val="center"/>
            <w:hideMark/>
          </w:tcPr>
          <w:p w14:paraId="44786EE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Weather/Event Cancellation</w:t>
            </w:r>
          </w:p>
        </w:tc>
        <w:tc>
          <w:tcPr>
            <w:tcW w:w="1596" w:type="dxa"/>
            <w:tcBorders>
              <w:top w:val="single" w:sz="4" w:space="0" w:color="auto"/>
              <w:left w:val="nil"/>
              <w:bottom w:val="single" w:sz="8" w:space="0" w:color="auto"/>
              <w:right w:val="single" w:sz="8" w:space="0" w:color="auto"/>
            </w:tcBorders>
            <w:vAlign w:val="center"/>
            <w:hideMark/>
          </w:tcPr>
          <w:p w14:paraId="5B441E1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single" w:sz="4" w:space="0" w:color="auto"/>
              <w:left w:val="nil"/>
              <w:bottom w:val="single" w:sz="8" w:space="0" w:color="auto"/>
              <w:right w:val="single" w:sz="8" w:space="0" w:color="auto"/>
            </w:tcBorders>
            <w:vAlign w:val="center"/>
            <w:hideMark/>
          </w:tcPr>
          <w:p w14:paraId="5F422CD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single" w:sz="4" w:space="0" w:color="auto"/>
              <w:left w:val="nil"/>
              <w:bottom w:val="single" w:sz="8" w:space="0" w:color="auto"/>
              <w:right w:val="single" w:sz="8" w:space="0" w:color="auto"/>
            </w:tcBorders>
            <w:shd w:val="clear" w:color="000000" w:fill="FFFF00"/>
            <w:vAlign w:val="center"/>
            <w:hideMark/>
          </w:tcPr>
          <w:p w14:paraId="08BF3CE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single" w:sz="4" w:space="0" w:color="auto"/>
              <w:left w:val="nil"/>
              <w:bottom w:val="single" w:sz="8" w:space="0" w:color="auto"/>
              <w:right w:val="single" w:sz="8" w:space="0" w:color="auto"/>
            </w:tcBorders>
            <w:vAlign w:val="center"/>
            <w:hideMark/>
          </w:tcPr>
          <w:p w14:paraId="2B911D80" w14:textId="0223ECA0"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In person events are largely held in temperate seasons; events can pivot to online; mitigation strategies are part of event contract negotiation. At present no event cancellation coverage is in </w:t>
            </w:r>
            <w:r w:rsidR="008C2C6B" w:rsidRPr="008D287C">
              <w:rPr>
                <w:rFonts w:ascii="Calibri" w:eastAsia="Times New Roman" w:hAnsi="Calibri" w:cs="Calibri"/>
                <w:color w:val="000000"/>
                <w:sz w:val="20"/>
                <w:szCs w:val="20"/>
              </w:rPr>
              <w:t>place;</w:t>
            </w:r>
            <w:r w:rsidRPr="008D287C">
              <w:rPr>
                <w:rFonts w:ascii="Calibri" w:eastAsia="Times New Roman" w:hAnsi="Calibri" w:cs="Calibri"/>
                <w:color w:val="000000"/>
                <w:sz w:val="20"/>
                <w:szCs w:val="20"/>
              </w:rPr>
              <w:t xml:space="preserve"> such insurance is a niche product offered by specialty insurers on an event and peril specific basis. Arranging such coverage involves a process including completed applications and associated information, with a minimum of 60 days lead time. A separate policy is required for each event. We do have a provision in our reserve to deal with this issue.</w:t>
            </w:r>
          </w:p>
        </w:tc>
      </w:tr>
      <w:tr w:rsidR="008D287C" w:rsidRPr="008D287C" w14:paraId="7051E4D3" w14:textId="77777777" w:rsidTr="008D287C">
        <w:trPr>
          <w:trHeight w:val="1512"/>
        </w:trPr>
        <w:tc>
          <w:tcPr>
            <w:tcW w:w="1776" w:type="dxa"/>
            <w:tcBorders>
              <w:top w:val="nil"/>
              <w:left w:val="nil"/>
              <w:bottom w:val="nil"/>
              <w:right w:val="single" w:sz="8" w:space="0" w:color="auto"/>
            </w:tcBorders>
            <w:vAlign w:val="center"/>
            <w:hideMark/>
          </w:tcPr>
          <w:p w14:paraId="2F2C0076"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Finance</w:t>
            </w:r>
          </w:p>
        </w:tc>
        <w:tc>
          <w:tcPr>
            <w:tcW w:w="2118" w:type="dxa"/>
            <w:tcBorders>
              <w:top w:val="nil"/>
              <w:left w:val="nil"/>
              <w:bottom w:val="single" w:sz="8" w:space="0" w:color="auto"/>
              <w:right w:val="single" w:sz="8" w:space="0" w:color="auto"/>
            </w:tcBorders>
            <w:vAlign w:val="center"/>
            <w:hideMark/>
          </w:tcPr>
          <w:p w14:paraId="461A8BB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Decline in investment revenue</w:t>
            </w:r>
          </w:p>
        </w:tc>
        <w:tc>
          <w:tcPr>
            <w:tcW w:w="1596" w:type="dxa"/>
            <w:tcBorders>
              <w:top w:val="nil"/>
              <w:left w:val="nil"/>
              <w:bottom w:val="single" w:sz="8" w:space="0" w:color="auto"/>
              <w:right w:val="single" w:sz="8" w:space="0" w:color="auto"/>
            </w:tcBorders>
            <w:vAlign w:val="center"/>
            <w:hideMark/>
          </w:tcPr>
          <w:p w14:paraId="036E5442" w14:textId="6DCAA32F" w:rsidR="008D287C" w:rsidRPr="008D287C" w:rsidRDefault="003801C6"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Likely</w:t>
            </w:r>
          </w:p>
        </w:tc>
        <w:tc>
          <w:tcPr>
            <w:tcW w:w="1576" w:type="dxa"/>
            <w:tcBorders>
              <w:top w:val="nil"/>
              <w:left w:val="nil"/>
              <w:bottom w:val="single" w:sz="8" w:space="0" w:color="auto"/>
              <w:right w:val="single" w:sz="8" w:space="0" w:color="auto"/>
            </w:tcBorders>
            <w:vAlign w:val="center"/>
            <w:hideMark/>
          </w:tcPr>
          <w:p w14:paraId="3AA30F9D" w14:textId="16E167A0" w:rsidR="008D287C" w:rsidRPr="008D287C" w:rsidRDefault="003801C6"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Insignificant</w:t>
            </w:r>
          </w:p>
        </w:tc>
        <w:tc>
          <w:tcPr>
            <w:tcW w:w="1776" w:type="dxa"/>
            <w:tcBorders>
              <w:top w:val="nil"/>
              <w:left w:val="nil"/>
              <w:bottom w:val="single" w:sz="8" w:space="0" w:color="auto"/>
              <w:right w:val="single" w:sz="8" w:space="0" w:color="auto"/>
            </w:tcBorders>
            <w:shd w:val="clear" w:color="000000" w:fill="70AD47"/>
            <w:vAlign w:val="center"/>
            <w:hideMark/>
          </w:tcPr>
          <w:p w14:paraId="1C9AD74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nil"/>
              <w:left w:val="nil"/>
              <w:bottom w:val="single" w:sz="8" w:space="0" w:color="auto"/>
              <w:right w:val="single" w:sz="8" w:space="0" w:color="auto"/>
            </w:tcBorders>
            <w:vAlign w:val="center"/>
            <w:hideMark/>
          </w:tcPr>
          <w:p w14:paraId="7B406439" w14:textId="069BC481"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Although interest rates are currently decreasing, interest revenue is conservatively estimated and often based on fixed contracts. We do not anticipate significant risk at this time, and best practices are in place to actively monitor investments and </w:t>
            </w:r>
            <w:r w:rsidR="008C2C6B" w:rsidRPr="008D287C">
              <w:rPr>
                <w:rFonts w:ascii="Calibri" w:eastAsia="Times New Roman" w:hAnsi="Calibri" w:cs="Calibri"/>
                <w:color w:val="000000"/>
                <w:sz w:val="20"/>
                <w:szCs w:val="20"/>
              </w:rPr>
              <w:t>reallocate,</w:t>
            </w:r>
            <w:r w:rsidRPr="008D287C">
              <w:rPr>
                <w:rFonts w:ascii="Calibri" w:eastAsia="Times New Roman" w:hAnsi="Calibri" w:cs="Calibri"/>
                <w:color w:val="000000"/>
                <w:sz w:val="20"/>
                <w:szCs w:val="20"/>
              </w:rPr>
              <w:t xml:space="preserve"> as necessary. </w:t>
            </w:r>
          </w:p>
        </w:tc>
      </w:tr>
      <w:tr w:rsidR="008D287C" w:rsidRPr="008D287C" w14:paraId="02577DAA" w14:textId="77777777" w:rsidTr="008D287C">
        <w:trPr>
          <w:trHeight w:val="960"/>
        </w:trPr>
        <w:tc>
          <w:tcPr>
            <w:tcW w:w="1776" w:type="dxa"/>
            <w:tcBorders>
              <w:top w:val="nil"/>
              <w:left w:val="nil"/>
              <w:bottom w:val="nil"/>
              <w:right w:val="single" w:sz="8" w:space="0" w:color="auto"/>
            </w:tcBorders>
            <w:vAlign w:val="center"/>
            <w:hideMark/>
          </w:tcPr>
          <w:p w14:paraId="10C47841"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8" w:space="0" w:color="auto"/>
              <w:right w:val="single" w:sz="8" w:space="0" w:color="auto"/>
            </w:tcBorders>
            <w:vAlign w:val="center"/>
            <w:hideMark/>
          </w:tcPr>
          <w:p w14:paraId="5C4603F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Decreased membership in programs</w:t>
            </w:r>
          </w:p>
        </w:tc>
        <w:tc>
          <w:tcPr>
            <w:tcW w:w="1596" w:type="dxa"/>
            <w:tcBorders>
              <w:top w:val="nil"/>
              <w:left w:val="nil"/>
              <w:bottom w:val="single" w:sz="8" w:space="0" w:color="auto"/>
              <w:right w:val="single" w:sz="8" w:space="0" w:color="auto"/>
            </w:tcBorders>
            <w:vAlign w:val="center"/>
            <w:hideMark/>
          </w:tcPr>
          <w:p w14:paraId="051411D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nil"/>
              <w:left w:val="nil"/>
              <w:bottom w:val="single" w:sz="8" w:space="0" w:color="auto"/>
              <w:right w:val="single" w:sz="8" w:space="0" w:color="auto"/>
            </w:tcBorders>
            <w:vAlign w:val="center"/>
            <w:hideMark/>
          </w:tcPr>
          <w:p w14:paraId="6DFC8A5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0C55134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36D0C662" w14:textId="191127A0"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Insurance programs seem relatively strong; budget revenues for programs are fiscally prudent</w:t>
            </w:r>
            <w:r w:rsidR="00056262">
              <w:rPr>
                <w:rFonts w:ascii="Calibri" w:eastAsia="Times New Roman" w:hAnsi="Calibri" w:cs="Calibri"/>
                <w:color w:val="000000"/>
                <w:sz w:val="20"/>
                <w:szCs w:val="20"/>
              </w:rPr>
              <w:t>; potential for competition.</w:t>
            </w:r>
          </w:p>
        </w:tc>
      </w:tr>
      <w:tr w:rsidR="008D287C" w:rsidRPr="008D287C" w14:paraId="2A1106F2" w14:textId="77777777" w:rsidTr="00BE6959">
        <w:trPr>
          <w:trHeight w:val="1548"/>
        </w:trPr>
        <w:tc>
          <w:tcPr>
            <w:tcW w:w="1776" w:type="dxa"/>
            <w:tcBorders>
              <w:top w:val="nil"/>
              <w:left w:val="nil"/>
              <w:bottom w:val="nil"/>
              <w:right w:val="single" w:sz="8" w:space="0" w:color="auto"/>
            </w:tcBorders>
            <w:vAlign w:val="center"/>
            <w:hideMark/>
          </w:tcPr>
          <w:p w14:paraId="717C90FC"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8" w:space="0" w:color="auto"/>
              <w:right w:val="single" w:sz="8" w:space="0" w:color="auto"/>
            </w:tcBorders>
            <w:vAlign w:val="center"/>
            <w:hideMark/>
          </w:tcPr>
          <w:p w14:paraId="52D3168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Economic downturn</w:t>
            </w:r>
          </w:p>
        </w:tc>
        <w:tc>
          <w:tcPr>
            <w:tcW w:w="1596" w:type="dxa"/>
            <w:tcBorders>
              <w:top w:val="nil"/>
              <w:left w:val="nil"/>
              <w:bottom w:val="single" w:sz="8" w:space="0" w:color="auto"/>
              <w:right w:val="single" w:sz="8" w:space="0" w:color="auto"/>
            </w:tcBorders>
            <w:vAlign w:val="center"/>
            <w:hideMark/>
          </w:tcPr>
          <w:p w14:paraId="0713F0B8" w14:textId="13CF17BC" w:rsidR="008D287C" w:rsidRPr="008D287C" w:rsidRDefault="00721E8A"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230674C0" w14:textId="76F134AE"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w:t>
            </w:r>
            <w:r w:rsidR="00BE6959">
              <w:rPr>
                <w:rFonts w:ascii="Calibri" w:eastAsia="Times New Roman" w:hAnsi="Calibri" w:cs="Calibri"/>
                <w:color w:val="000000"/>
                <w:sz w:val="20"/>
                <w:szCs w:val="20"/>
              </w:rPr>
              <w:t>oderate</w:t>
            </w:r>
          </w:p>
        </w:tc>
        <w:tc>
          <w:tcPr>
            <w:tcW w:w="1776" w:type="dxa"/>
            <w:tcBorders>
              <w:top w:val="nil"/>
              <w:left w:val="nil"/>
              <w:bottom w:val="single" w:sz="8" w:space="0" w:color="auto"/>
              <w:right w:val="single" w:sz="8" w:space="0" w:color="auto"/>
            </w:tcBorders>
            <w:shd w:val="clear" w:color="auto" w:fill="FFFF00"/>
            <w:vAlign w:val="center"/>
            <w:hideMark/>
          </w:tcPr>
          <w:p w14:paraId="49B99C2D" w14:textId="580A335B" w:rsidR="008D287C" w:rsidRPr="008D287C" w:rsidRDefault="00E7759C"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Medi</w:t>
            </w:r>
            <w:r w:rsidR="004C5238">
              <w:rPr>
                <w:rFonts w:ascii="Calibri" w:eastAsia="Times New Roman" w:hAnsi="Calibri" w:cs="Calibri"/>
                <w:color w:val="000000"/>
                <w:sz w:val="20"/>
                <w:szCs w:val="20"/>
              </w:rPr>
              <w:t>um</w:t>
            </w:r>
          </w:p>
        </w:tc>
        <w:tc>
          <w:tcPr>
            <w:tcW w:w="6156" w:type="dxa"/>
            <w:tcBorders>
              <w:top w:val="nil"/>
              <w:left w:val="nil"/>
              <w:bottom w:val="single" w:sz="8" w:space="0" w:color="auto"/>
              <w:right w:val="single" w:sz="8" w:space="0" w:color="auto"/>
            </w:tcBorders>
            <w:vAlign w:val="center"/>
            <w:hideMark/>
          </w:tcPr>
          <w:p w14:paraId="70A94D8D" w14:textId="56BC8F8E"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Attendance would be affected if municipal units have to tighten budgets for conference attendance; management analyzes budget performance on an ongoing basis and communicate</w:t>
            </w:r>
            <w:r w:rsidR="001B2EA0">
              <w:rPr>
                <w:rFonts w:ascii="Calibri" w:eastAsia="Times New Roman" w:hAnsi="Calibri" w:cs="Calibri"/>
                <w:color w:val="000000"/>
                <w:sz w:val="20"/>
                <w:szCs w:val="20"/>
              </w:rPr>
              <w:t>s</w:t>
            </w:r>
            <w:r w:rsidRPr="008D287C">
              <w:rPr>
                <w:rFonts w:ascii="Calibri" w:eastAsia="Times New Roman" w:hAnsi="Calibri" w:cs="Calibri"/>
                <w:color w:val="000000"/>
                <w:sz w:val="20"/>
                <w:szCs w:val="20"/>
              </w:rPr>
              <w:t xml:space="preserve"> changes that need to be contemplated to the Audit &amp; Finance Committee.</w:t>
            </w:r>
          </w:p>
        </w:tc>
      </w:tr>
      <w:tr w:rsidR="008D287C" w:rsidRPr="008D287C" w14:paraId="7F281B7E" w14:textId="77777777" w:rsidTr="008D287C">
        <w:trPr>
          <w:trHeight w:val="1224"/>
        </w:trPr>
        <w:tc>
          <w:tcPr>
            <w:tcW w:w="1776" w:type="dxa"/>
            <w:tcBorders>
              <w:top w:val="nil"/>
              <w:left w:val="nil"/>
              <w:bottom w:val="nil"/>
              <w:right w:val="single" w:sz="8" w:space="0" w:color="auto"/>
            </w:tcBorders>
            <w:vAlign w:val="center"/>
            <w:hideMark/>
          </w:tcPr>
          <w:p w14:paraId="6A443AF8"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8" w:space="0" w:color="auto"/>
              <w:right w:val="single" w:sz="8" w:space="0" w:color="auto"/>
            </w:tcBorders>
            <w:vAlign w:val="center"/>
            <w:hideMark/>
          </w:tcPr>
          <w:p w14:paraId="569719C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Employee on disability</w:t>
            </w:r>
          </w:p>
        </w:tc>
        <w:tc>
          <w:tcPr>
            <w:tcW w:w="1596" w:type="dxa"/>
            <w:tcBorders>
              <w:top w:val="nil"/>
              <w:left w:val="nil"/>
              <w:bottom w:val="single" w:sz="8" w:space="0" w:color="auto"/>
              <w:right w:val="single" w:sz="8" w:space="0" w:color="auto"/>
            </w:tcBorders>
            <w:vAlign w:val="center"/>
            <w:hideMark/>
          </w:tcPr>
          <w:p w14:paraId="7DC3DCE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nil"/>
              <w:left w:val="nil"/>
              <w:bottom w:val="single" w:sz="8" w:space="0" w:color="auto"/>
              <w:right w:val="single" w:sz="8" w:space="0" w:color="auto"/>
            </w:tcBorders>
            <w:vAlign w:val="center"/>
            <w:hideMark/>
          </w:tcPr>
          <w:p w14:paraId="5DFE50F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Minor</w:t>
            </w:r>
          </w:p>
        </w:tc>
        <w:tc>
          <w:tcPr>
            <w:tcW w:w="1776" w:type="dxa"/>
            <w:tcBorders>
              <w:top w:val="nil"/>
              <w:left w:val="nil"/>
              <w:bottom w:val="single" w:sz="8" w:space="0" w:color="auto"/>
              <w:right w:val="single" w:sz="8" w:space="0" w:color="auto"/>
            </w:tcBorders>
            <w:shd w:val="clear" w:color="000000" w:fill="70AD47"/>
            <w:vAlign w:val="center"/>
            <w:hideMark/>
          </w:tcPr>
          <w:p w14:paraId="00745B9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nil"/>
              <w:left w:val="nil"/>
              <w:bottom w:val="single" w:sz="8" w:space="0" w:color="auto"/>
              <w:right w:val="single" w:sz="8" w:space="0" w:color="auto"/>
            </w:tcBorders>
            <w:vAlign w:val="center"/>
            <w:hideMark/>
          </w:tcPr>
          <w:p w14:paraId="0AEB47A4" w14:textId="06644594"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Early Assistance Program assists staff member; staff member may eventually need to transf</w:t>
            </w:r>
            <w:r w:rsidR="00834DAB">
              <w:rPr>
                <w:rFonts w:ascii="Calibri" w:eastAsia="Times New Roman" w:hAnsi="Calibri" w:cs="Calibri"/>
                <w:color w:val="000000"/>
                <w:sz w:val="20"/>
                <w:szCs w:val="20"/>
              </w:rPr>
              <w:t>er</w:t>
            </w:r>
            <w:r w:rsidRPr="008D287C">
              <w:rPr>
                <w:rFonts w:ascii="Calibri" w:eastAsia="Times New Roman" w:hAnsi="Calibri" w:cs="Calibri"/>
                <w:color w:val="000000"/>
                <w:sz w:val="20"/>
                <w:szCs w:val="20"/>
              </w:rPr>
              <w:t xml:space="preserve"> to long term disability; Staff Policy covers 50% of benefits for a year; additional expense required if replacement is hired.</w:t>
            </w:r>
          </w:p>
        </w:tc>
      </w:tr>
      <w:tr w:rsidR="008D287C" w:rsidRPr="008D287C" w14:paraId="4DA77007" w14:textId="77777777" w:rsidTr="004B47D0">
        <w:trPr>
          <w:trHeight w:val="996"/>
        </w:trPr>
        <w:tc>
          <w:tcPr>
            <w:tcW w:w="1776" w:type="dxa"/>
            <w:tcBorders>
              <w:top w:val="nil"/>
              <w:left w:val="nil"/>
              <w:bottom w:val="nil"/>
              <w:right w:val="single" w:sz="8" w:space="0" w:color="auto"/>
            </w:tcBorders>
            <w:vAlign w:val="center"/>
            <w:hideMark/>
          </w:tcPr>
          <w:p w14:paraId="40B3AFF7"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4" w:space="0" w:color="auto"/>
              <w:right w:val="single" w:sz="8" w:space="0" w:color="auto"/>
            </w:tcBorders>
            <w:vAlign w:val="center"/>
            <w:hideMark/>
          </w:tcPr>
          <w:p w14:paraId="48726A46" w14:textId="13F09622"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Frau</w:t>
            </w:r>
            <w:r w:rsidR="007B452D">
              <w:rPr>
                <w:rFonts w:ascii="Calibri" w:eastAsia="Times New Roman" w:hAnsi="Calibri" w:cs="Calibri"/>
                <w:color w:val="000000"/>
                <w:sz w:val="20"/>
                <w:szCs w:val="20"/>
              </w:rPr>
              <w:t>d</w:t>
            </w:r>
          </w:p>
        </w:tc>
        <w:tc>
          <w:tcPr>
            <w:tcW w:w="1596" w:type="dxa"/>
            <w:tcBorders>
              <w:top w:val="nil"/>
              <w:left w:val="nil"/>
              <w:bottom w:val="single" w:sz="4" w:space="0" w:color="auto"/>
              <w:right w:val="single" w:sz="8" w:space="0" w:color="auto"/>
            </w:tcBorders>
            <w:vAlign w:val="center"/>
            <w:hideMark/>
          </w:tcPr>
          <w:p w14:paraId="6863ED92"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Unlikely</w:t>
            </w:r>
          </w:p>
        </w:tc>
        <w:tc>
          <w:tcPr>
            <w:tcW w:w="1576" w:type="dxa"/>
            <w:tcBorders>
              <w:top w:val="nil"/>
              <w:left w:val="nil"/>
              <w:bottom w:val="single" w:sz="4" w:space="0" w:color="auto"/>
              <w:right w:val="single" w:sz="8" w:space="0" w:color="auto"/>
            </w:tcBorders>
            <w:vAlign w:val="center"/>
            <w:hideMark/>
          </w:tcPr>
          <w:p w14:paraId="5C9DFAB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4" w:space="0" w:color="auto"/>
              <w:right w:val="single" w:sz="8" w:space="0" w:color="auto"/>
            </w:tcBorders>
            <w:shd w:val="clear" w:color="000000" w:fill="FFFF00"/>
            <w:vAlign w:val="center"/>
            <w:hideMark/>
          </w:tcPr>
          <w:p w14:paraId="33A72D6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4" w:space="0" w:color="auto"/>
              <w:right w:val="single" w:sz="8" w:space="0" w:color="auto"/>
            </w:tcBorders>
            <w:vAlign w:val="center"/>
            <w:hideMark/>
          </w:tcPr>
          <w:p w14:paraId="2F8648E6"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Insurance coverage, adequate separation of financial duties and internal controls; finances subject to audit; Finance &amp; Audit Committee in place.</w:t>
            </w:r>
          </w:p>
        </w:tc>
      </w:tr>
      <w:tr w:rsidR="008D287C" w:rsidRPr="008D287C" w14:paraId="1FFBF54D" w14:textId="77777777" w:rsidTr="004B47D0">
        <w:trPr>
          <w:trHeight w:val="1740"/>
        </w:trPr>
        <w:tc>
          <w:tcPr>
            <w:tcW w:w="1776" w:type="dxa"/>
            <w:tcBorders>
              <w:top w:val="nil"/>
              <w:left w:val="nil"/>
              <w:bottom w:val="nil"/>
              <w:right w:val="single" w:sz="8" w:space="0" w:color="auto"/>
            </w:tcBorders>
            <w:vAlign w:val="center"/>
            <w:hideMark/>
          </w:tcPr>
          <w:p w14:paraId="2B819988"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lastRenderedPageBreak/>
              <w:t> </w:t>
            </w:r>
          </w:p>
        </w:tc>
        <w:tc>
          <w:tcPr>
            <w:tcW w:w="2118" w:type="dxa"/>
            <w:tcBorders>
              <w:top w:val="single" w:sz="4" w:space="0" w:color="auto"/>
              <w:left w:val="nil"/>
              <w:bottom w:val="single" w:sz="8" w:space="0" w:color="auto"/>
              <w:right w:val="single" w:sz="8" w:space="0" w:color="auto"/>
            </w:tcBorders>
            <w:vAlign w:val="center"/>
            <w:hideMark/>
          </w:tcPr>
          <w:p w14:paraId="25EBB9D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Insufficient cash flow</w:t>
            </w:r>
          </w:p>
        </w:tc>
        <w:tc>
          <w:tcPr>
            <w:tcW w:w="1596" w:type="dxa"/>
            <w:tcBorders>
              <w:top w:val="single" w:sz="4" w:space="0" w:color="auto"/>
              <w:left w:val="nil"/>
              <w:bottom w:val="single" w:sz="8" w:space="0" w:color="auto"/>
              <w:right w:val="single" w:sz="8" w:space="0" w:color="auto"/>
            </w:tcBorders>
            <w:vAlign w:val="center"/>
            <w:hideMark/>
          </w:tcPr>
          <w:p w14:paraId="5F45593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Unlikely</w:t>
            </w:r>
          </w:p>
        </w:tc>
        <w:tc>
          <w:tcPr>
            <w:tcW w:w="1576" w:type="dxa"/>
            <w:tcBorders>
              <w:top w:val="single" w:sz="4" w:space="0" w:color="auto"/>
              <w:left w:val="nil"/>
              <w:bottom w:val="single" w:sz="8" w:space="0" w:color="auto"/>
              <w:right w:val="single" w:sz="8" w:space="0" w:color="auto"/>
            </w:tcBorders>
            <w:vAlign w:val="center"/>
            <w:hideMark/>
          </w:tcPr>
          <w:p w14:paraId="027CE40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Minor</w:t>
            </w:r>
          </w:p>
        </w:tc>
        <w:tc>
          <w:tcPr>
            <w:tcW w:w="1776" w:type="dxa"/>
            <w:tcBorders>
              <w:top w:val="single" w:sz="4" w:space="0" w:color="auto"/>
              <w:left w:val="nil"/>
              <w:bottom w:val="single" w:sz="8" w:space="0" w:color="auto"/>
              <w:right w:val="single" w:sz="8" w:space="0" w:color="auto"/>
            </w:tcBorders>
            <w:shd w:val="clear" w:color="000000" w:fill="70AD47"/>
            <w:vAlign w:val="center"/>
            <w:hideMark/>
          </w:tcPr>
          <w:p w14:paraId="0C44D835"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single" w:sz="4" w:space="0" w:color="auto"/>
              <w:left w:val="nil"/>
              <w:bottom w:val="single" w:sz="8" w:space="0" w:color="auto"/>
              <w:right w:val="single" w:sz="8" w:space="0" w:color="auto"/>
            </w:tcBorders>
            <w:vAlign w:val="center"/>
            <w:hideMark/>
          </w:tcPr>
          <w:p w14:paraId="48271FCE"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NSFM has a reserve policy in place and currently maintains a substantial surplus. We are actively de-risking future locked-in GICs to ensure that NSFM will have access to necessary cash flow despite any locked-in investments. This strategy, alongside the existing surplus, helps mitigate liquidity risks and ensures continued financial flexibility.</w:t>
            </w:r>
          </w:p>
        </w:tc>
      </w:tr>
      <w:tr w:rsidR="008D287C" w:rsidRPr="008D287C" w14:paraId="77545DA9" w14:textId="77777777" w:rsidTr="008D287C">
        <w:trPr>
          <w:trHeight w:val="996"/>
        </w:trPr>
        <w:tc>
          <w:tcPr>
            <w:tcW w:w="1776" w:type="dxa"/>
            <w:tcBorders>
              <w:top w:val="nil"/>
              <w:left w:val="nil"/>
              <w:bottom w:val="nil"/>
              <w:right w:val="single" w:sz="8" w:space="0" w:color="auto"/>
            </w:tcBorders>
            <w:vAlign w:val="center"/>
            <w:hideMark/>
          </w:tcPr>
          <w:p w14:paraId="1FFE3C81"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8" w:space="0" w:color="auto"/>
              <w:right w:val="single" w:sz="8" w:space="0" w:color="auto"/>
            </w:tcBorders>
            <w:vAlign w:val="center"/>
            <w:hideMark/>
          </w:tcPr>
          <w:p w14:paraId="7763D6CF"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Lack of revenue diversification</w:t>
            </w:r>
          </w:p>
        </w:tc>
        <w:tc>
          <w:tcPr>
            <w:tcW w:w="1596" w:type="dxa"/>
            <w:tcBorders>
              <w:top w:val="nil"/>
              <w:left w:val="nil"/>
              <w:bottom w:val="single" w:sz="8" w:space="0" w:color="auto"/>
              <w:right w:val="single" w:sz="8" w:space="0" w:color="auto"/>
            </w:tcBorders>
            <w:vAlign w:val="center"/>
            <w:hideMark/>
          </w:tcPr>
          <w:p w14:paraId="4C34BB02"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Certain</w:t>
            </w:r>
          </w:p>
        </w:tc>
        <w:tc>
          <w:tcPr>
            <w:tcW w:w="1576" w:type="dxa"/>
            <w:tcBorders>
              <w:top w:val="nil"/>
              <w:left w:val="nil"/>
              <w:bottom w:val="single" w:sz="8" w:space="0" w:color="auto"/>
              <w:right w:val="single" w:sz="8" w:space="0" w:color="auto"/>
            </w:tcBorders>
            <w:vAlign w:val="center"/>
            <w:hideMark/>
          </w:tcPr>
          <w:p w14:paraId="1DF726A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C65911"/>
            <w:vAlign w:val="center"/>
            <w:hideMark/>
          </w:tcPr>
          <w:p w14:paraId="2D928FD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High</w:t>
            </w:r>
          </w:p>
        </w:tc>
        <w:tc>
          <w:tcPr>
            <w:tcW w:w="6156" w:type="dxa"/>
            <w:tcBorders>
              <w:top w:val="nil"/>
              <w:left w:val="nil"/>
              <w:bottom w:val="single" w:sz="8" w:space="0" w:color="auto"/>
              <w:right w:val="single" w:sz="8" w:space="0" w:color="auto"/>
            </w:tcBorders>
            <w:vAlign w:val="center"/>
            <w:hideMark/>
          </w:tcPr>
          <w:p w14:paraId="4EF8736A" w14:textId="43013EFD" w:rsidR="00E81A5D" w:rsidRPr="00E81A5D" w:rsidRDefault="00E81A5D" w:rsidP="00E81A5D">
            <w:pPr>
              <w:spacing w:after="0" w:line="240" w:lineRule="auto"/>
              <w:jc w:val="both"/>
              <w:rPr>
                <w:rFonts w:ascii="Calibri" w:eastAsia="Times New Roman" w:hAnsi="Calibri" w:cs="Calibri"/>
                <w:color w:val="000000"/>
                <w:sz w:val="20"/>
                <w:szCs w:val="20"/>
              </w:rPr>
            </w:pPr>
            <w:r w:rsidRPr="00E81A5D">
              <w:rPr>
                <w:rFonts w:ascii="Calibri" w:eastAsia="Times New Roman" w:hAnsi="Calibri" w:cs="Calibri"/>
                <w:color w:val="000000"/>
                <w:sz w:val="20"/>
                <w:szCs w:val="20"/>
              </w:rPr>
              <w:t>Research opportunities to diversify, including innovative programs, fund administration options, and new funding sources.</w:t>
            </w:r>
          </w:p>
          <w:p w14:paraId="6AA5D7CA" w14:textId="2C709ACD" w:rsidR="008D287C" w:rsidRPr="008D287C" w:rsidRDefault="008D287C" w:rsidP="008D287C">
            <w:pPr>
              <w:spacing w:after="0" w:line="240" w:lineRule="auto"/>
              <w:jc w:val="both"/>
              <w:rPr>
                <w:rFonts w:ascii="Calibri" w:eastAsia="Times New Roman" w:hAnsi="Calibri" w:cs="Calibri"/>
                <w:color w:val="000000"/>
                <w:sz w:val="20"/>
                <w:szCs w:val="20"/>
              </w:rPr>
            </w:pPr>
          </w:p>
        </w:tc>
      </w:tr>
      <w:tr w:rsidR="008D287C" w:rsidRPr="008D287C" w14:paraId="5E4E25FC" w14:textId="77777777" w:rsidTr="008D287C">
        <w:trPr>
          <w:trHeight w:val="996"/>
        </w:trPr>
        <w:tc>
          <w:tcPr>
            <w:tcW w:w="1776" w:type="dxa"/>
            <w:tcBorders>
              <w:top w:val="nil"/>
              <w:left w:val="nil"/>
              <w:bottom w:val="nil"/>
              <w:right w:val="single" w:sz="8" w:space="0" w:color="auto"/>
            </w:tcBorders>
            <w:vAlign w:val="center"/>
            <w:hideMark/>
          </w:tcPr>
          <w:p w14:paraId="7A9A1134"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8" w:space="0" w:color="auto"/>
              <w:right w:val="single" w:sz="8" w:space="0" w:color="auto"/>
            </w:tcBorders>
            <w:vAlign w:val="center"/>
            <w:hideMark/>
          </w:tcPr>
          <w:p w14:paraId="0392FEF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Loss of event sponsorship</w:t>
            </w:r>
          </w:p>
        </w:tc>
        <w:tc>
          <w:tcPr>
            <w:tcW w:w="1596" w:type="dxa"/>
            <w:tcBorders>
              <w:top w:val="nil"/>
              <w:left w:val="nil"/>
              <w:bottom w:val="single" w:sz="8" w:space="0" w:color="auto"/>
              <w:right w:val="single" w:sz="8" w:space="0" w:color="auto"/>
            </w:tcBorders>
            <w:vAlign w:val="center"/>
            <w:hideMark/>
          </w:tcPr>
          <w:p w14:paraId="394CF69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nil"/>
              <w:left w:val="nil"/>
              <w:bottom w:val="single" w:sz="8" w:space="0" w:color="auto"/>
              <w:right w:val="single" w:sz="8" w:space="0" w:color="auto"/>
            </w:tcBorders>
            <w:vAlign w:val="center"/>
            <w:hideMark/>
          </w:tcPr>
          <w:p w14:paraId="589BFD8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735A109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613C3871"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Modest budgeting to guard against impact; ability to modify conference budget if revenues are not forthcoming.</w:t>
            </w:r>
          </w:p>
        </w:tc>
      </w:tr>
      <w:tr w:rsidR="008D287C" w:rsidRPr="008D287C" w14:paraId="1F4A0267" w14:textId="77777777" w:rsidTr="008D287C">
        <w:trPr>
          <w:trHeight w:val="3264"/>
        </w:trPr>
        <w:tc>
          <w:tcPr>
            <w:tcW w:w="1776" w:type="dxa"/>
            <w:tcBorders>
              <w:top w:val="nil"/>
              <w:left w:val="nil"/>
              <w:bottom w:val="nil"/>
              <w:right w:val="single" w:sz="8" w:space="0" w:color="auto"/>
            </w:tcBorders>
            <w:vAlign w:val="center"/>
            <w:hideMark/>
          </w:tcPr>
          <w:p w14:paraId="771413B4"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8" w:space="0" w:color="auto"/>
              <w:right w:val="single" w:sz="8" w:space="0" w:color="auto"/>
            </w:tcBorders>
            <w:vAlign w:val="center"/>
            <w:hideMark/>
          </w:tcPr>
          <w:p w14:paraId="5844D47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Non-renewal of Government Contracts </w:t>
            </w:r>
          </w:p>
        </w:tc>
        <w:tc>
          <w:tcPr>
            <w:tcW w:w="1596" w:type="dxa"/>
            <w:tcBorders>
              <w:top w:val="nil"/>
              <w:left w:val="nil"/>
              <w:bottom w:val="single" w:sz="8" w:space="0" w:color="auto"/>
              <w:right w:val="single" w:sz="8" w:space="0" w:color="auto"/>
            </w:tcBorders>
            <w:vAlign w:val="center"/>
            <w:hideMark/>
          </w:tcPr>
          <w:p w14:paraId="63974DE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nil"/>
              <w:left w:val="nil"/>
              <w:bottom w:val="single" w:sz="8" w:space="0" w:color="auto"/>
              <w:right w:val="single" w:sz="8" w:space="0" w:color="auto"/>
            </w:tcBorders>
            <w:vAlign w:val="center"/>
            <w:hideMark/>
          </w:tcPr>
          <w:p w14:paraId="3E94F9C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7440079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5770D937" w14:textId="5DE27B59"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The discontinuation of self-contained government contracts would result in staff layoffs, though the associated costs would be absorbed by the government. The loss of government contracts which contribute to NSFM’s overhead and staff time, would reduce NSFM's revenue. For instance, the SCCF currently contributes $</w:t>
            </w:r>
            <w:r w:rsidR="005F2051">
              <w:rPr>
                <w:rFonts w:ascii="Calibri" w:eastAsia="Times New Roman" w:hAnsi="Calibri" w:cs="Calibri"/>
                <w:color w:val="000000"/>
                <w:sz w:val="20"/>
                <w:szCs w:val="20"/>
              </w:rPr>
              <w:t>94</w:t>
            </w:r>
            <w:r w:rsidRPr="008D287C">
              <w:rPr>
                <w:rFonts w:ascii="Calibri" w:eastAsia="Times New Roman" w:hAnsi="Calibri" w:cs="Calibri"/>
                <w:color w:val="000000"/>
                <w:sz w:val="20"/>
                <w:szCs w:val="20"/>
              </w:rPr>
              <w:t xml:space="preserve">,500 to NSFM’s income. Looking ahead, future grant programs with ECC, DMA, and the renewal of CCBF are expected to also contribute to NSFM’s revenue and would </w:t>
            </w:r>
            <w:r w:rsidR="00B45416">
              <w:rPr>
                <w:rFonts w:ascii="Calibri" w:eastAsia="Times New Roman" w:hAnsi="Calibri" w:cs="Calibri"/>
                <w:color w:val="000000"/>
                <w:sz w:val="20"/>
                <w:szCs w:val="20"/>
              </w:rPr>
              <w:t>decrease</w:t>
            </w:r>
            <w:r w:rsidRPr="008D287C">
              <w:rPr>
                <w:rFonts w:ascii="Calibri" w:eastAsia="Times New Roman" w:hAnsi="Calibri" w:cs="Calibri"/>
                <w:color w:val="000000"/>
                <w:sz w:val="20"/>
                <w:szCs w:val="20"/>
              </w:rPr>
              <w:t xml:space="preserve"> the risk of income loss. To mitigate this, the NSFM is currently building an admin fee in</w:t>
            </w:r>
            <w:r w:rsidR="004577A1">
              <w:rPr>
                <w:rFonts w:ascii="Calibri" w:eastAsia="Times New Roman" w:hAnsi="Calibri" w:cs="Calibri"/>
                <w:color w:val="000000"/>
                <w:sz w:val="20"/>
                <w:szCs w:val="20"/>
              </w:rPr>
              <w:t>to</w:t>
            </w:r>
            <w:r w:rsidRPr="008D287C">
              <w:rPr>
                <w:rFonts w:ascii="Calibri" w:eastAsia="Times New Roman" w:hAnsi="Calibri" w:cs="Calibri"/>
                <w:color w:val="000000"/>
                <w:sz w:val="20"/>
                <w:szCs w:val="20"/>
              </w:rPr>
              <w:t xml:space="preserve"> future contracts to build capacity and safeguard against the risk of income loss. </w:t>
            </w:r>
          </w:p>
        </w:tc>
      </w:tr>
      <w:tr w:rsidR="008D287C" w:rsidRPr="008D287C" w14:paraId="3E58C9DB" w14:textId="77777777" w:rsidTr="004B47D0">
        <w:trPr>
          <w:trHeight w:val="996"/>
        </w:trPr>
        <w:tc>
          <w:tcPr>
            <w:tcW w:w="1776" w:type="dxa"/>
            <w:tcBorders>
              <w:top w:val="nil"/>
              <w:left w:val="nil"/>
              <w:bottom w:val="nil"/>
              <w:right w:val="single" w:sz="8" w:space="0" w:color="auto"/>
            </w:tcBorders>
            <w:vAlign w:val="center"/>
            <w:hideMark/>
          </w:tcPr>
          <w:p w14:paraId="754AE0B6"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4" w:space="0" w:color="auto"/>
              <w:right w:val="single" w:sz="8" w:space="0" w:color="auto"/>
            </w:tcBorders>
            <w:vAlign w:val="center"/>
            <w:hideMark/>
          </w:tcPr>
          <w:p w14:paraId="549BA84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Poor operational performance</w:t>
            </w:r>
          </w:p>
        </w:tc>
        <w:tc>
          <w:tcPr>
            <w:tcW w:w="1596" w:type="dxa"/>
            <w:tcBorders>
              <w:top w:val="nil"/>
              <w:left w:val="nil"/>
              <w:bottom w:val="single" w:sz="4" w:space="0" w:color="auto"/>
              <w:right w:val="single" w:sz="8" w:space="0" w:color="auto"/>
            </w:tcBorders>
            <w:vAlign w:val="center"/>
            <w:hideMark/>
          </w:tcPr>
          <w:p w14:paraId="7293262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nil"/>
              <w:left w:val="nil"/>
              <w:bottom w:val="single" w:sz="4" w:space="0" w:color="auto"/>
              <w:right w:val="single" w:sz="8" w:space="0" w:color="auto"/>
            </w:tcBorders>
            <w:vAlign w:val="center"/>
            <w:hideMark/>
          </w:tcPr>
          <w:p w14:paraId="122C4E4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4" w:space="0" w:color="auto"/>
              <w:right w:val="single" w:sz="8" w:space="0" w:color="auto"/>
            </w:tcBorders>
            <w:shd w:val="clear" w:color="000000" w:fill="FFFF00"/>
            <w:vAlign w:val="center"/>
            <w:hideMark/>
          </w:tcPr>
          <w:p w14:paraId="48C41A5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4" w:space="0" w:color="auto"/>
              <w:right w:val="single" w:sz="8" w:space="0" w:color="auto"/>
            </w:tcBorders>
            <w:vAlign w:val="center"/>
            <w:hideMark/>
          </w:tcPr>
          <w:p w14:paraId="26344571" w14:textId="1839B3A5"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Poor performance from programs or events could have</w:t>
            </w:r>
            <w:r w:rsidR="009701FE">
              <w:rPr>
                <w:rFonts w:ascii="Calibri" w:eastAsia="Times New Roman" w:hAnsi="Calibri" w:cs="Calibri"/>
                <w:color w:val="000000"/>
                <w:sz w:val="20"/>
                <w:szCs w:val="20"/>
              </w:rPr>
              <w:t xml:space="preserve"> an</w:t>
            </w:r>
            <w:r w:rsidRPr="008D287C">
              <w:rPr>
                <w:rFonts w:ascii="Calibri" w:eastAsia="Times New Roman" w:hAnsi="Calibri" w:cs="Calibri"/>
                <w:color w:val="000000"/>
                <w:sz w:val="20"/>
                <w:szCs w:val="20"/>
              </w:rPr>
              <w:t xml:space="preserve"> impact on attendance and sponsorship.</w:t>
            </w:r>
          </w:p>
        </w:tc>
      </w:tr>
      <w:tr w:rsidR="008D287C" w:rsidRPr="008D287C" w14:paraId="7C8A86B6" w14:textId="77777777" w:rsidTr="004B47D0">
        <w:trPr>
          <w:trHeight w:val="1524"/>
        </w:trPr>
        <w:tc>
          <w:tcPr>
            <w:tcW w:w="1776" w:type="dxa"/>
            <w:tcBorders>
              <w:top w:val="nil"/>
              <w:left w:val="nil"/>
              <w:bottom w:val="nil"/>
              <w:right w:val="single" w:sz="8" w:space="0" w:color="auto"/>
            </w:tcBorders>
            <w:vAlign w:val="center"/>
            <w:hideMark/>
          </w:tcPr>
          <w:p w14:paraId="6F44AD2C"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lastRenderedPageBreak/>
              <w:t> </w:t>
            </w:r>
          </w:p>
        </w:tc>
        <w:tc>
          <w:tcPr>
            <w:tcW w:w="2118" w:type="dxa"/>
            <w:tcBorders>
              <w:top w:val="single" w:sz="4" w:space="0" w:color="auto"/>
              <w:left w:val="nil"/>
              <w:bottom w:val="single" w:sz="8" w:space="0" w:color="auto"/>
              <w:right w:val="single" w:sz="8" w:space="0" w:color="auto"/>
            </w:tcBorders>
            <w:vAlign w:val="center"/>
            <w:hideMark/>
          </w:tcPr>
          <w:p w14:paraId="38B4704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Reduced conference attendance</w:t>
            </w:r>
          </w:p>
        </w:tc>
        <w:tc>
          <w:tcPr>
            <w:tcW w:w="1596" w:type="dxa"/>
            <w:tcBorders>
              <w:top w:val="single" w:sz="4" w:space="0" w:color="auto"/>
              <w:left w:val="nil"/>
              <w:bottom w:val="single" w:sz="8" w:space="0" w:color="auto"/>
              <w:right w:val="single" w:sz="8" w:space="0" w:color="auto"/>
            </w:tcBorders>
            <w:vAlign w:val="center"/>
            <w:hideMark/>
          </w:tcPr>
          <w:p w14:paraId="7D4491B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single" w:sz="4" w:space="0" w:color="auto"/>
              <w:left w:val="nil"/>
              <w:bottom w:val="single" w:sz="8" w:space="0" w:color="auto"/>
              <w:right w:val="single" w:sz="8" w:space="0" w:color="auto"/>
            </w:tcBorders>
            <w:vAlign w:val="center"/>
            <w:hideMark/>
          </w:tcPr>
          <w:p w14:paraId="4A97C4B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single" w:sz="4" w:space="0" w:color="auto"/>
              <w:left w:val="nil"/>
              <w:bottom w:val="single" w:sz="8" w:space="0" w:color="auto"/>
              <w:right w:val="single" w:sz="8" w:space="0" w:color="auto"/>
            </w:tcBorders>
            <w:shd w:val="clear" w:color="000000" w:fill="FFFF00"/>
            <w:vAlign w:val="center"/>
            <w:hideMark/>
          </w:tcPr>
          <w:p w14:paraId="3B639925"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single" w:sz="4" w:space="0" w:color="auto"/>
              <w:left w:val="nil"/>
              <w:bottom w:val="single" w:sz="8" w:space="0" w:color="auto"/>
              <w:right w:val="single" w:sz="8" w:space="0" w:color="auto"/>
            </w:tcBorders>
            <w:vAlign w:val="center"/>
            <w:hideMark/>
          </w:tcPr>
          <w:p w14:paraId="76F6FE66" w14:textId="526FA2F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Advertising and programming </w:t>
            </w:r>
            <w:r w:rsidR="008C757A">
              <w:rPr>
                <w:rFonts w:ascii="Calibri" w:eastAsia="Times New Roman" w:hAnsi="Calibri" w:cs="Calibri"/>
                <w:color w:val="000000"/>
                <w:sz w:val="20"/>
                <w:szCs w:val="20"/>
              </w:rPr>
              <w:t>are</w:t>
            </w:r>
            <w:r w:rsidRPr="008D287C">
              <w:rPr>
                <w:rFonts w:ascii="Calibri" w:eastAsia="Times New Roman" w:hAnsi="Calibri" w:cs="Calibri"/>
                <w:color w:val="000000"/>
                <w:sz w:val="20"/>
                <w:szCs w:val="20"/>
              </w:rPr>
              <w:t xml:space="preserve"> strong with a member-driven strategy; generally high degree of excitement for conference activities; diversification of revenue sources; reviewing trends associated with conference attendance; early-bird registration fee.</w:t>
            </w:r>
          </w:p>
        </w:tc>
      </w:tr>
      <w:tr w:rsidR="008D287C" w:rsidRPr="008D287C" w14:paraId="5D034DA5" w14:textId="77777777" w:rsidTr="008D287C">
        <w:trPr>
          <w:trHeight w:val="996"/>
        </w:trPr>
        <w:tc>
          <w:tcPr>
            <w:tcW w:w="1776" w:type="dxa"/>
            <w:tcBorders>
              <w:top w:val="nil"/>
              <w:left w:val="nil"/>
              <w:bottom w:val="nil"/>
              <w:right w:val="single" w:sz="8" w:space="0" w:color="auto"/>
            </w:tcBorders>
            <w:vAlign w:val="center"/>
            <w:hideMark/>
          </w:tcPr>
          <w:p w14:paraId="695EF777"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8" w:space="0" w:color="auto"/>
              <w:right w:val="single" w:sz="8" w:space="0" w:color="auto"/>
            </w:tcBorders>
            <w:vAlign w:val="center"/>
            <w:hideMark/>
          </w:tcPr>
          <w:p w14:paraId="7B487A1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Reduced membership numbers</w:t>
            </w:r>
          </w:p>
        </w:tc>
        <w:tc>
          <w:tcPr>
            <w:tcW w:w="1596" w:type="dxa"/>
            <w:tcBorders>
              <w:top w:val="nil"/>
              <w:left w:val="nil"/>
              <w:bottom w:val="single" w:sz="8" w:space="0" w:color="auto"/>
              <w:right w:val="single" w:sz="8" w:space="0" w:color="auto"/>
            </w:tcBorders>
            <w:vAlign w:val="center"/>
            <w:hideMark/>
          </w:tcPr>
          <w:p w14:paraId="26812A8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Unlikely</w:t>
            </w:r>
          </w:p>
        </w:tc>
        <w:tc>
          <w:tcPr>
            <w:tcW w:w="1576" w:type="dxa"/>
            <w:tcBorders>
              <w:top w:val="nil"/>
              <w:left w:val="nil"/>
              <w:bottom w:val="single" w:sz="8" w:space="0" w:color="auto"/>
              <w:right w:val="single" w:sz="8" w:space="0" w:color="auto"/>
            </w:tcBorders>
            <w:vAlign w:val="center"/>
            <w:hideMark/>
          </w:tcPr>
          <w:p w14:paraId="4449A39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5816695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6ED42E5B" w14:textId="440561B2"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Member engagement is </w:t>
            </w:r>
            <w:r w:rsidR="00766F07" w:rsidRPr="008D287C">
              <w:rPr>
                <w:rFonts w:ascii="Calibri" w:eastAsia="Times New Roman" w:hAnsi="Calibri" w:cs="Calibri"/>
                <w:color w:val="000000"/>
                <w:sz w:val="20"/>
                <w:szCs w:val="20"/>
              </w:rPr>
              <w:t>strong;</w:t>
            </w:r>
            <w:r w:rsidRPr="008D287C">
              <w:rPr>
                <w:rFonts w:ascii="Calibri" w:eastAsia="Times New Roman" w:hAnsi="Calibri" w:cs="Calibri"/>
                <w:color w:val="000000"/>
                <w:sz w:val="20"/>
                <w:szCs w:val="20"/>
              </w:rPr>
              <w:t xml:space="preserve"> loss of larger members presents a particular risk.</w:t>
            </w:r>
          </w:p>
        </w:tc>
      </w:tr>
      <w:tr w:rsidR="008D287C" w:rsidRPr="008D287C" w14:paraId="5F5A13C9" w14:textId="77777777" w:rsidTr="008D287C">
        <w:trPr>
          <w:trHeight w:val="1272"/>
        </w:trPr>
        <w:tc>
          <w:tcPr>
            <w:tcW w:w="1776" w:type="dxa"/>
            <w:tcBorders>
              <w:top w:val="nil"/>
              <w:left w:val="nil"/>
              <w:bottom w:val="nil"/>
              <w:right w:val="single" w:sz="8" w:space="0" w:color="auto"/>
            </w:tcBorders>
            <w:vAlign w:val="center"/>
            <w:hideMark/>
          </w:tcPr>
          <w:p w14:paraId="62C6A50E"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8" w:space="0" w:color="auto"/>
              <w:right w:val="single" w:sz="8" w:space="0" w:color="auto"/>
            </w:tcBorders>
            <w:vAlign w:val="center"/>
            <w:hideMark/>
          </w:tcPr>
          <w:p w14:paraId="79B6FC6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Reduced participation in revenue generating workshops</w:t>
            </w:r>
          </w:p>
        </w:tc>
        <w:tc>
          <w:tcPr>
            <w:tcW w:w="1596" w:type="dxa"/>
            <w:tcBorders>
              <w:top w:val="nil"/>
              <w:left w:val="nil"/>
              <w:bottom w:val="single" w:sz="8" w:space="0" w:color="auto"/>
              <w:right w:val="single" w:sz="8" w:space="0" w:color="auto"/>
            </w:tcBorders>
            <w:vAlign w:val="center"/>
            <w:hideMark/>
          </w:tcPr>
          <w:p w14:paraId="7BFEC27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nil"/>
              <w:left w:val="nil"/>
              <w:bottom w:val="single" w:sz="8" w:space="0" w:color="auto"/>
              <w:right w:val="single" w:sz="8" w:space="0" w:color="auto"/>
            </w:tcBorders>
            <w:vAlign w:val="center"/>
            <w:hideMark/>
          </w:tcPr>
          <w:p w14:paraId="7777BD4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Minor</w:t>
            </w:r>
          </w:p>
        </w:tc>
        <w:tc>
          <w:tcPr>
            <w:tcW w:w="1776" w:type="dxa"/>
            <w:tcBorders>
              <w:top w:val="nil"/>
              <w:left w:val="nil"/>
              <w:bottom w:val="single" w:sz="8" w:space="0" w:color="auto"/>
              <w:right w:val="single" w:sz="8" w:space="0" w:color="auto"/>
            </w:tcBorders>
            <w:shd w:val="clear" w:color="000000" w:fill="70AD47"/>
            <w:vAlign w:val="center"/>
            <w:hideMark/>
          </w:tcPr>
          <w:p w14:paraId="47A5297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nil"/>
              <w:left w:val="nil"/>
              <w:bottom w:val="single" w:sz="8" w:space="0" w:color="auto"/>
              <w:right w:val="single" w:sz="8" w:space="0" w:color="auto"/>
            </w:tcBorders>
            <w:vAlign w:val="center"/>
            <w:hideMark/>
          </w:tcPr>
          <w:p w14:paraId="263521B0"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Modest budgeting to guard against the impact of this.</w:t>
            </w:r>
          </w:p>
        </w:tc>
      </w:tr>
      <w:tr w:rsidR="00593230" w:rsidRPr="008D287C" w14:paraId="3E391A0E" w14:textId="77777777" w:rsidTr="001664B0">
        <w:trPr>
          <w:trHeight w:val="1272"/>
        </w:trPr>
        <w:tc>
          <w:tcPr>
            <w:tcW w:w="1776" w:type="dxa"/>
            <w:tcBorders>
              <w:top w:val="nil"/>
              <w:left w:val="nil"/>
              <w:bottom w:val="nil"/>
              <w:right w:val="single" w:sz="8" w:space="0" w:color="auto"/>
            </w:tcBorders>
            <w:vAlign w:val="center"/>
          </w:tcPr>
          <w:p w14:paraId="107846AD" w14:textId="77777777" w:rsidR="00593230" w:rsidRPr="008D287C" w:rsidRDefault="00593230" w:rsidP="008D287C">
            <w:pPr>
              <w:spacing w:after="0" w:line="240" w:lineRule="auto"/>
              <w:rPr>
                <w:rFonts w:ascii="Calibri" w:eastAsia="Times New Roman" w:hAnsi="Calibri" w:cs="Calibri"/>
                <w:b/>
                <w:bCs/>
                <w:color w:val="000000"/>
                <w:sz w:val="24"/>
                <w:szCs w:val="24"/>
              </w:rPr>
            </w:pPr>
          </w:p>
        </w:tc>
        <w:tc>
          <w:tcPr>
            <w:tcW w:w="2118" w:type="dxa"/>
            <w:tcBorders>
              <w:top w:val="nil"/>
              <w:left w:val="nil"/>
              <w:bottom w:val="single" w:sz="8" w:space="0" w:color="auto"/>
              <w:right w:val="single" w:sz="8" w:space="0" w:color="auto"/>
            </w:tcBorders>
            <w:vAlign w:val="center"/>
          </w:tcPr>
          <w:p w14:paraId="713C17C3" w14:textId="59B6189F" w:rsidR="00593230" w:rsidRPr="008D287C" w:rsidRDefault="00593230"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Segr</w:t>
            </w:r>
            <w:r w:rsidR="00DE3D1A">
              <w:rPr>
                <w:rFonts w:ascii="Calibri" w:eastAsia="Times New Roman" w:hAnsi="Calibri" w:cs="Calibri"/>
                <w:color w:val="000000"/>
                <w:sz w:val="20"/>
                <w:szCs w:val="20"/>
              </w:rPr>
              <w:t>egation of Duties</w:t>
            </w:r>
          </w:p>
        </w:tc>
        <w:tc>
          <w:tcPr>
            <w:tcW w:w="1596" w:type="dxa"/>
            <w:tcBorders>
              <w:top w:val="nil"/>
              <w:left w:val="nil"/>
              <w:bottom w:val="single" w:sz="8" w:space="0" w:color="auto"/>
              <w:right w:val="single" w:sz="8" w:space="0" w:color="auto"/>
            </w:tcBorders>
            <w:vAlign w:val="center"/>
          </w:tcPr>
          <w:p w14:paraId="29688788" w14:textId="518E9E96" w:rsidR="00593230" w:rsidRPr="008D287C" w:rsidRDefault="00DE3D1A"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tcPr>
          <w:p w14:paraId="2A243144" w14:textId="771FB15E" w:rsidR="00593230" w:rsidRPr="008D287C" w:rsidRDefault="00DE3D1A"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auto" w:fill="FFFF00"/>
            <w:vAlign w:val="center"/>
          </w:tcPr>
          <w:p w14:paraId="4982D4C5" w14:textId="2518BF6D" w:rsidR="00593230" w:rsidRPr="008D287C" w:rsidRDefault="00DE3D1A"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tcPr>
          <w:p w14:paraId="3B2965F4" w14:textId="41BEC564" w:rsidR="00593230" w:rsidRPr="008D287C" w:rsidRDefault="001664B0" w:rsidP="008D287C">
            <w:pPr>
              <w:spacing w:after="0" w:line="240" w:lineRule="auto"/>
              <w:jc w:val="both"/>
              <w:rPr>
                <w:rFonts w:ascii="Calibri" w:eastAsia="Times New Roman" w:hAnsi="Calibri" w:cs="Calibri"/>
                <w:color w:val="000000"/>
                <w:sz w:val="20"/>
                <w:szCs w:val="20"/>
              </w:rPr>
            </w:pPr>
            <w:r w:rsidRPr="001664B0">
              <w:rPr>
                <w:rFonts w:ascii="Calibri" w:eastAsia="Times New Roman" w:hAnsi="Calibri" w:cs="Calibri"/>
                <w:color w:val="000000"/>
                <w:sz w:val="20"/>
                <w:szCs w:val="20"/>
              </w:rPr>
              <w:t>NSFM will look to diversity key tasks in finance; possibly hire additional staff resources to offer support and provide backup, when necessary</w:t>
            </w:r>
          </w:p>
        </w:tc>
      </w:tr>
      <w:tr w:rsidR="008D287C" w:rsidRPr="008D287C" w14:paraId="5825A1A4" w14:textId="77777777" w:rsidTr="008D287C">
        <w:trPr>
          <w:trHeight w:val="1164"/>
        </w:trPr>
        <w:tc>
          <w:tcPr>
            <w:tcW w:w="1776" w:type="dxa"/>
            <w:tcBorders>
              <w:top w:val="nil"/>
              <w:left w:val="nil"/>
              <w:bottom w:val="nil"/>
              <w:right w:val="single" w:sz="8" w:space="0" w:color="auto"/>
            </w:tcBorders>
            <w:vAlign w:val="center"/>
            <w:hideMark/>
          </w:tcPr>
          <w:p w14:paraId="1DB5DE5D"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8" w:space="0" w:color="auto"/>
              <w:right w:val="single" w:sz="8" w:space="0" w:color="auto"/>
            </w:tcBorders>
            <w:vAlign w:val="center"/>
            <w:hideMark/>
          </w:tcPr>
          <w:p w14:paraId="65204F2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Unexpected legal costs</w:t>
            </w:r>
          </w:p>
        </w:tc>
        <w:tc>
          <w:tcPr>
            <w:tcW w:w="1596" w:type="dxa"/>
            <w:tcBorders>
              <w:top w:val="nil"/>
              <w:left w:val="nil"/>
              <w:bottom w:val="single" w:sz="8" w:space="0" w:color="auto"/>
              <w:right w:val="single" w:sz="8" w:space="0" w:color="auto"/>
            </w:tcBorders>
            <w:vAlign w:val="center"/>
            <w:hideMark/>
          </w:tcPr>
          <w:p w14:paraId="238A76C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Possible </w:t>
            </w:r>
          </w:p>
        </w:tc>
        <w:tc>
          <w:tcPr>
            <w:tcW w:w="1576" w:type="dxa"/>
            <w:tcBorders>
              <w:top w:val="nil"/>
              <w:left w:val="nil"/>
              <w:bottom w:val="single" w:sz="8" w:space="0" w:color="auto"/>
              <w:right w:val="single" w:sz="8" w:space="0" w:color="auto"/>
            </w:tcBorders>
            <w:vAlign w:val="center"/>
            <w:hideMark/>
          </w:tcPr>
          <w:p w14:paraId="11FC36D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13D0C1E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4AAC898C"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Costs would be unbudgeted; adequate checks and balances in terms of policy and decision making to preclude need for this; generally, try to conduct research in advance to minimize work of legal counsel.</w:t>
            </w:r>
          </w:p>
        </w:tc>
      </w:tr>
      <w:tr w:rsidR="008D287C" w:rsidRPr="008D287C" w14:paraId="4871A003" w14:textId="77777777" w:rsidTr="004B47D0">
        <w:trPr>
          <w:trHeight w:val="1776"/>
        </w:trPr>
        <w:tc>
          <w:tcPr>
            <w:tcW w:w="1776" w:type="dxa"/>
            <w:tcBorders>
              <w:top w:val="nil"/>
              <w:left w:val="nil"/>
              <w:bottom w:val="nil"/>
              <w:right w:val="single" w:sz="8" w:space="0" w:color="auto"/>
            </w:tcBorders>
            <w:vAlign w:val="center"/>
            <w:hideMark/>
          </w:tcPr>
          <w:p w14:paraId="36B6EBFE"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 </w:t>
            </w:r>
          </w:p>
        </w:tc>
        <w:tc>
          <w:tcPr>
            <w:tcW w:w="2118" w:type="dxa"/>
            <w:tcBorders>
              <w:top w:val="nil"/>
              <w:left w:val="nil"/>
              <w:bottom w:val="single" w:sz="4" w:space="0" w:color="auto"/>
              <w:right w:val="single" w:sz="8" w:space="0" w:color="auto"/>
            </w:tcBorders>
            <w:vAlign w:val="center"/>
            <w:hideMark/>
          </w:tcPr>
          <w:p w14:paraId="228839D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Estimates within rent </w:t>
            </w:r>
          </w:p>
        </w:tc>
        <w:tc>
          <w:tcPr>
            <w:tcW w:w="1596" w:type="dxa"/>
            <w:tcBorders>
              <w:top w:val="nil"/>
              <w:left w:val="nil"/>
              <w:bottom w:val="single" w:sz="4" w:space="0" w:color="auto"/>
              <w:right w:val="single" w:sz="8" w:space="0" w:color="auto"/>
            </w:tcBorders>
            <w:vAlign w:val="center"/>
            <w:hideMark/>
          </w:tcPr>
          <w:p w14:paraId="5F1F499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Unlikely</w:t>
            </w:r>
          </w:p>
        </w:tc>
        <w:tc>
          <w:tcPr>
            <w:tcW w:w="1576" w:type="dxa"/>
            <w:tcBorders>
              <w:top w:val="nil"/>
              <w:left w:val="nil"/>
              <w:bottom w:val="single" w:sz="4" w:space="0" w:color="auto"/>
              <w:right w:val="single" w:sz="8" w:space="0" w:color="auto"/>
            </w:tcBorders>
            <w:vAlign w:val="center"/>
            <w:hideMark/>
          </w:tcPr>
          <w:p w14:paraId="4E56FBF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4" w:space="0" w:color="auto"/>
              <w:right w:val="single" w:sz="8" w:space="0" w:color="auto"/>
            </w:tcBorders>
            <w:shd w:val="clear" w:color="000000" w:fill="70AD47"/>
            <w:vAlign w:val="center"/>
            <w:hideMark/>
          </w:tcPr>
          <w:p w14:paraId="7A0C67C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nil"/>
              <w:left w:val="nil"/>
              <w:bottom w:val="single" w:sz="4" w:space="0" w:color="auto"/>
              <w:right w:val="single" w:sz="8" w:space="0" w:color="auto"/>
            </w:tcBorders>
            <w:vAlign w:val="center"/>
            <w:hideMark/>
          </w:tcPr>
          <w:p w14:paraId="48F70B19"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The rent expense consists of two components: a fixed cost outlined in the contract and common costs, which are estimated at the beginning of the year and adjusted at year-end for final billing. The common costs are subject to change, potentially leading to fluctuations, but NSFM remains contractually obligated to cover these expenses.</w:t>
            </w:r>
          </w:p>
        </w:tc>
      </w:tr>
      <w:tr w:rsidR="008D287C" w:rsidRPr="008D287C" w14:paraId="45C06B76" w14:textId="77777777" w:rsidTr="004B47D0">
        <w:trPr>
          <w:trHeight w:val="1476"/>
        </w:trPr>
        <w:tc>
          <w:tcPr>
            <w:tcW w:w="1776" w:type="dxa"/>
            <w:tcBorders>
              <w:top w:val="nil"/>
              <w:left w:val="nil"/>
              <w:bottom w:val="nil"/>
              <w:right w:val="single" w:sz="8" w:space="0" w:color="auto"/>
            </w:tcBorders>
            <w:vAlign w:val="center"/>
            <w:hideMark/>
          </w:tcPr>
          <w:p w14:paraId="4A147C70"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lastRenderedPageBreak/>
              <w:t> </w:t>
            </w:r>
          </w:p>
        </w:tc>
        <w:tc>
          <w:tcPr>
            <w:tcW w:w="2118" w:type="dxa"/>
            <w:tcBorders>
              <w:top w:val="single" w:sz="4" w:space="0" w:color="auto"/>
              <w:left w:val="nil"/>
              <w:bottom w:val="single" w:sz="8" w:space="0" w:color="auto"/>
              <w:right w:val="single" w:sz="8" w:space="0" w:color="auto"/>
            </w:tcBorders>
            <w:vAlign w:val="center"/>
            <w:hideMark/>
          </w:tcPr>
          <w:p w14:paraId="0EF6BD5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Office Lease </w:t>
            </w:r>
          </w:p>
        </w:tc>
        <w:tc>
          <w:tcPr>
            <w:tcW w:w="1596" w:type="dxa"/>
            <w:tcBorders>
              <w:top w:val="single" w:sz="4" w:space="0" w:color="auto"/>
              <w:left w:val="nil"/>
              <w:bottom w:val="single" w:sz="8" w:space="0" w:color="auto"/>
              <w:right w:val="single" w:sz="8" w:space="0" w:color="auto"/>
            </w:tcBorders>
            <w:vAlign w:val="center"/>
            <w:hideMark/>
          </w:tcPr>
          <w:p w14:paraId="2ACB691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Rare</w:t>
            </w:r>
          </w:p>
        </w:tc>
        <w:tc>
          <w:tcPr>
            <w:tcW w:w="1576" w:type="dxa"/>
            <w:tcBorders>
              <w:top w:val="single" w:sz="4" w:space="0" w:color="auto"/>
              <w:left w:val="nil"/>
              <w:bottom w:val="single" w:sz="8" w:space="0" w:color="auto"/>
              <w:right w:val="single" w:sz="8" w:space="0" w:color="auto"/>
            </w:tcBorders>
            <w:vAlign w:val="center"/>
            <w:hideMark/>
          </w:tcPr>
          <w:p w14:paraId="588C263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single" w:sz="4" w:space="0" w:color="auto"/>
              <w:left w:val="nil"/>
              <w:bottom w:val="single" w:sz="8" w:space="0" w:color="auto"/>
              <w:right w:val="single" w:sz="8" w:space="0" w:color="auto"/>
            </w:tcBorders>
            <w:shd w:val="clear" w:color="000000" w:fill="70AD47"/>
            <w:vAlign w:val="center"/>
            <w:hideMark/>
          </w:tcPr>
          <w:p w14:paraId="13A3246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single" w:sz="4" w:space="0" w:color="auto"/>
              <w:left w:val="nil"/>
              <w:bottom w:val="single" w:sz="8" w:space="0" w:color="auto"/>
              <w:right w:val="single" w:sz="8" w:space="0" w:color="auto"/>
            </w:tcBorders>
            <w:vAlign w:val="center"/>
            <w:hideMark/>
          </w:tcPr>
          <w:p w14:paraId="74B7AEF9" w14:textId="7F7025A3"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If NSFM were to terminate the lease, it would be responsible for covering the unamortized leasehold improvements and the remaining lease term. </w:t>
            </w:r>
          </w:p>
        </w:tc>
      </w:tr>
      <w:tr w:rsidR="008D287C" w:rsidRPr="008D287C" w14:paraId="67135B6E" w14:textId="77777777" w:rsidTr="008D287C">
        <w:trPr>
          <w:trHeight w:val="996"/>
        </w:trPr>
        <w:tc>
          <w:tcPr>
            <w:tcW w:w="1776" w:type="dxa"/>
            <w:tcBorders>
              <w:top w:val="single" w:sz="8" w:space="0" w:color="auto"/>
              <w:left w:val="nil"/>
              <w:bottom w:val="nil"/>
              <w:right w:val="single" w:sz="8" w:space="0" w:color="auto"/>
            </w:tcBorders>
            <w:vAlign w:val="center"/>
            <w:hideMark/>
          </w:tcPr>
          <w:p w14:paraId="01E76204"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Governance</w:t>
            </w:r>
          </w:p>
        </w:tc>
        <w:tc>
          <w:tcPr>
            <w:tcW w:w="2118" w:type="dxa"/>
            <w:tcBorders>
              <w:top w:val="nil"/>
              <w:left w:val="nil"/>
              <w:bottom w:val="single" w:sz="8" w:space="0" w:color="auto"/>
              <w:right w:val="single" w:sz="8" w:space="0" w:color="auto"/>
            </w:tcBorders>
            <w:vAlign w:val="center"/>
            <w:hideMark/>
          </w:tcPr>
          <w:p w14:paraId="24A7E642"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Committee membership turnover</w:t>
            </w:r>
          </w:p>
        </w:tc>
        <w:tc>
          <w:tcPr>
            <w:tcW w:w="1596" w:type="dxa"/>
            <w:tcBorders>
              <w:top w:val="nil"/>
              <w:left w:val="nil"/>
              <w:bottom w:val="single" w:sz="8" w:space="0" w:color="auto"/>
              <w:right w:val="single" w:sz="8" w:space="0" w:color="auto"/>
            </w:tcBorders>
            <w:vAlign w:val="center"/>
            <w:hideMark/>
          </w:tcPr>
          <w:p w14:paraId="58392B4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Likely</w:t>
            </w:r>
          </w:p>
        </w:tc>
        <w:tc>
          <w:tcPr>
            <w:tcW w:w="1576" w:type="dxa"/>
            <w:tcBorders>
              <w:top w:val="nil"/>
              <w:left w:val="nil"/>
              <w:bottom w:val="single" w:sz="8" w:space="0" w:color="auto"/>
              <w:right w:val="single" w:sz="8" w:space="0" w:color="auto"/>
            </w:tcBorders>
            <w:vAlign w:val="center"/>
            <w:hideMark/>
          </w:tcPr>
          <w:p w14:paraId="243EF1B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Minor</w:t>
            </w:r>
          </w:p>
        </w:tc>
        <w:tc>
          <w:tcPr>
            <w:tcW w:w="1776" w:type="dxa"/>
            <w:tcBorders>
              <w:top w:val="nil"/>
              <w:left w:val="nil"/>
              <w:bottom w:val="single" w:sz="8" w:space="0" w:color="auto"/>
              <w:right w:val="single" w:sz="8" w:space="0" w:color="auto"/>
            </w:tcBorders>
            <w:shd w:val="clear" w:color="000000" w:fill="FFFF00"/>
            <w:vAlign w:val="center"/>
            <w:hideMark/>
          </w:tcPr>
          <w:p w14:paraId="1DCC54B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42DB031E"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Robust application process ensures applicants have the knowledge, skill, and time to commit; relatively easy to replace members, if necessary.</w:t>
            </w:r>
          </w:p>
        </w:tc>
      </w:tr>
      <w:tr w:rsidR="008D287C" w:rsidRPr="008D287C" w14:paraId="7AC00594" w14:textId="77777777" w:rsidTr="008D287C">
        <w:trPr>
          <w:trHeight w:val="1944"/>
        </w:trPr>
        <w:tc>
          <w:tcPr>
            <w:tcW w:w="1776" w:type="dxa"/>
            <w:tcBorders>
              <w:top w:val="nil"/>
              <w:left w:val="nil"/>
              <w:bottom w:val="nil"/>
              <w:right w:val="nil"/>
            </w:tcBorders>
            <w:hideMark/>
          </w:tcPr>
          <w:p w14:paraId="6CA77A60"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700EB8E5"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Impact on reputation and advocacy resulting from controversial behaviour by Board member</w:t>
            </w:r>
          </w:p>
        </w:tc>
        <w:tc>
          <w:tcPr>
            <w:tcW w:w="1596" w:type="dxa"/>
            <w:tcBorders>
              <w:top w:val="nil"/>
              <w:left w:val="nil"/>
              <w:bottom w:val="single" w:sz="8" w:space="0" w:color="auto"/>
              <w:right w:val="single" w:sz="8" w:space="0" w:color="auto"/>
            </w:tcBorders>
            <w:vAlign w:val="center"/>
            <w:hideMark/>
          </w:tcPr>
          <w:p w14:paraId="7FD82B7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230955D2"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382E130F"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5A9E0203" w14:textId="126951DA"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New Code of Conduct in place to respond; member training; participation in training offered by DMAH</w:t>
            </w:r>
            <w:r w:rsidR="00AD323C">
              <w:rPr>
                <w:rFonts w:ascii="Calibri" w:eastAsia="Times New Roman" w:hAnsi="Calibri" w:cs="Calibri"/>
                <w:color w:val="000000"/>
                <w:sz w:val="20"/>
                <w:szCs w:val="20"/>
              </w:rPr>
              <w:t>; Board governance training planned.</w:t>
            </w:r>
          </w:p>
        </w:tc>
      </w:tr>
      <w:tr w:rsidR="008D287C" w:rsidRPr="008D287C" w14:paraId="7BBA084F" w14:textId="77777777" w:rsidTr="008D287C">
        <w:trPr>
          <w:trHeight w:val="1164"/>
        </w:trPr>
        <w:tc>
          <w:tcPr>
            <w:tcW w:w="1776" w:type="dxa"/>
            <w:tcBorders>
              <w:top w:val="nil"/>
              <w:left w:val="nil"/>
              <w:bottom w:val="nil"/>
              <w:right w:val="nil"/>
            </w:tcBorders>
            <w:hideMark/>
          </w:tcPr>
          <w:p w14:paraId="33A2EC76"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0C5641B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Issues with Grant Administration accountability and transparency</w:t>
            </w:r>
          </w:p>
        </w:tc>
        <w:tc>
          <w:tcPr>
            <w:tcW w:w="1596" w:type="dxa"/>
            <w:tcBorders>
              <w:top w:val="nil"/>
              <w:left w:val="nil"/>
              <w:bottom w:val="single" w:sz="8" w:space="0" w:color="auto"/>
              <w:right w:val="single" w:sz="8" w:space="0" w:color="auto"/>
            </w:tcBorders>
            <w:vAlign w:val="center"/>
            <w:hideMark/>
          </w:tcPr>
          <w:p w14:paraId="6423AA9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Unlikely</w:t>
            </w:r>
          </w:p>
        </w:tc>
        <w:tc>
          <w:tcPr>
            <w:tcW w:w="1576" w:type="dxa"/>
            <w:tcBorders>
              <w:top w:val="nil"/>
              <w:left w:val="nil"/>
              <w:bottom w:val="single" w:sz="8" w:space="0" w:color="auto"/>
              <w:right w:val="single" w:sz="8" w:space="0" w:color="auto"/>
            </w:tcBorders>
            <w:vAlign w:val="center"/>
            <w:hideMark/>
          </w:tcPr>
          <w:p w14:paraId="4754945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12CC730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486592B5"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Decisions are rules and procedure based; separation of duties between SCCF and NSFM; external expertise is employed as part of the decision-making process.</w:t>
            </w:r>
          </w:p>
        </w:tc>
      </w:tr>
      <w:tr w:rsidR="008D287C" w:rsidRPr="008D287C" w14:paraId="3AD69BD4" w14:textId="77777777" w:rsidTr="008D287C">
        <w:trPr>
          <w:trHeight w:val="1560"/>
        </w:trPr>
        <w:tc>
          <w:tcPr>
            <w:tcW w:w="1776" w:type="dxa"/>
            <w:tcBorders>
              <w:top w:val="nil"/>
              <w:left w:val="nil"/>
              <w:bottom w:val="nil"/>
              <w:right w:val="nil"/>
            </w:tcBorders>
            <w:hideMark/>
          </w:tcPr>
          <w:p w14:paraId="2ADDC7BF"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1944A668" w14:textId="223F4081"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Lack of diversity in terms of skill sets/core competencies</w:t>
            </w:r>
            <w:r w:rsidR="00B258EF">
              <w:rPr>
                <w:rFonts w:ascii="Calibri" w:eastAsia="Times New Roman" w:hAnsi="Calibri" w:cs="Calibri"/>
                <w:color w:val="000000"/>
                <w:sz w:val="20"/>
                <w:szCs w:val="20"/>
              </w:rPr>
              <w:t xml:space="preserve"> of Board</w:t>
            </w:r>
            <w:r w:rsidR="00A72189">
              <w:rPr>
                <w:rFonts w:ascii="Calibri" w:eastAsia="Times New Roman" w:hAnsi="Calibri" w:cs="Calibri"/>
                <w:color w:val="000000"/>
                <w:sz w:val="20"/>
                <w:szCs w:val="20"/>
              </w:rPr>
              <w:t>/Committees</w:t>
            </w:r>
          </w:p>
        </w:tc>
        <w:tc>
          <w:tcPr>
            <w:tcW w:w="1596" w:type="dxa"/>
            <w:tcBorders>
              <w:top w:val="nil"/>
              <w:left w:val="nil"/>
              <w:bottom w:val="single" w:sz="8" w:space="0" w:color="auto"/>
              <w:right w:val="single" w:sz="8" w:space="0" w:color="auto"/>
            </w:tcBorders>
            <w:vAlign w:val="center"/>
            <w:hideMark/>
          </w:tcPr>
          <w:p w14:paraId="79B0AA3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Likely</w:t>
            </w:r>
          </w:p>
        </w:tc>
        <w:tc>
          <w:tcPr>
            <w:tcW w:w="1576" w:type="dxa"/>
            <w:tcBorders>
              <w:top w:val="nil"/>
              <w:left w:val="nil"/>
              <w:bottom w:val="single" w:sz="8" w:space="0" w:color="auto"/>
              <w:right w:val="single" w:sz="8" w:space="0" w:color="auto"/>
            </w:tcBorders>
            <w:vAlign w:val="center"/>
            <w:hideMark/>
          </w:tcPr>
          <w:p w14:paraId="097ECFEF"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60FBB01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329FE310" w14:textId="592447D3"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Creating awareness among the membership; encouraging continued engagement in diversity with elected officials; procur</w:t>
            </w:r>
            <w:r w:rsidR="008E5C46">
              <w:rPr>
                <w:rFonts w:ascii="Calibri" w:eastAsia="Times New Roman" w:hAnsi="Calibri" w:cs="Calibri"/>
                <w:color w:val="000000"/>
                <w:sz w:val="20"/>
                <w:szCs w:val="20"/>
              </w:rPr>
              <w:t>ing</w:t>
            </w:r>
            <w:r w:rsidRPr="008D287C">
              <w:rPr>
                <w:rFonts w:ascii="Calibri" w:eastAsia="Times New Roman" w:hAnsi="Calibri" w:cs="Calibri"/>
                <w:color w:val="000000"/>
                <w:sz w:val="20"/>
                <w:szCs w:val="20"/>
              </w:rPr>
              <w:t xml:space="preserve"> </w:t>
            </w:r>
            <w:r w:rsidR="00A24DB7">
              <w:rPr>
                <w:rFonts w:ascii="Calibri" w:eastAsia="Times New Roman" w:hAnsi="Calibri" w:cs="Calibri"/>
                <w:color w:val="000000"/>
                <w:sz w:val="20"/>
                <w:szCs w:val="20"/>
              </w:rPr>
              <w:t xml:space="preserve">the </w:t>
            </w:r>
            <w:r w:rsidRPr="008D287C">
              <w:rPr>
                <w:rFonts w:ascii="Calibri" w:eastAsia="Times New Roman" w:hAnsi="Calibri" w:cs="Calibri"/>
                <w:color w:val="000000"/>
                <w:sz w:val="20"/>
                <w:szCs w:val="20"/>
              </w:rPr>
              <w:t>advice that is needed if it is not in place within Board or committee structure;</w:t>
            </w:r>
            <w:r w:rsidR="00BF2962">
              <w:rPr>
                <w:rFonts w:ascii="Calibri" w:eastAsia="Times New Roman" w:hAnsi="Calibri" w:cs="Calibri"/>
                <w:color w:val="000000"/>
                <w:sz w:val="20"/>
                <w:szCs w:val="20"/>
              </w:rPr>
              <w:t xml:space="preserve"> discussion with</w:t>
            </w:r>
            <w:r w:rsidRPr="008D287C">
              <w:rPr>
                <w:rFonts w:ascii="Calibri" w:eastAsia="Times New Roman" w:hAnsi="Calibri" w:cs="Calibri"/>
                <w:color w:val="000000"/>
                <w:sz w:val="20"/>
                <w:szCs w:val="20"/>
              </w:rPr>
              <w:t xml:space="preserve"> </w:t>
            </w:r>
            <w:r w:rsidR="00BF2962">
              <w:rPr>
                <w:rFonts w:ascii="Calibri" w:eastAsia="Times New Roman" w:hAnsi="Calibri" w:cs="Calibri"/>
                <w:color w:val="000000"/>
                <w:sz w:val="20"/>
                <w:szCs w:val="20"/>
              </w:rPr>
              <w:t xml:space="preserve">Board around competency-based roles; </w:t>
            </w:r>
            <w:r w:rsidRPr="008D287C">
              <w:rPr>
                <w:rFonts w:ascii="Calibri" w:eastAsia="Times New Roman" w:hAnsi="Calibri" w:cs="Calibri"/>
                <w:color w:val="000000"/>
                <w:sz w:val="20"/>
                <w:szCs w:val="20"/>
              </w:rPr>
              <w:t>membership survey planned.</w:t>
            </w:r>
          </w:p>
        </w:tc>
      </w:tr>
      <w:tr w:rsidR="008D287C" w:rsidRPr="008D287C" w14:paraId="78C54986" w14:textId="77777777" w:rsidTr="004B47D0">
        <w:trPr>
          <w:trHeight w:val="1488"/>
        </w:trPr>
        <w:tc>
          <w:tcPr>
            <w:tcW w:w="1776" w:type="dxa"/>
            <w:tcBorders>
              <w:top w:val="nil"/>
              <w:left w:val="nil"/>
              <w:bottom w:val="nil"/>
              <w:right w:val="nil"/>
            </w:tcBorders>
            <w:hideMark/>
          </w:tcPr>
          <w:p w14:paraId="5624E4A3"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4" w:space="0" w:color="auto"/>
              <w:right w:val="single" w:sz="8" w:space="0" w:color="auto"/>
            </w:tcBorders>
            <w:vAlign w:val="center"/>
            <w:hideMark/>
          </w:tcPr>
          <w:p w14:paraId="60642C2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NSFM strays from its strategic direction</w:t>
            </w:r>
          </w:p>
        </w:tc>
        <w:tc>
          <w:tcPr>
            <w:tcW w:w="1596" w:type="dxa"/>
            <w:tcBorders>
              <w:top w:val="nil"/>
              <w:left w:val="nil"/>
              <w:bottom w:val="single" w:sz="4" w:space="0" w:color="auto"/>
              <w:right w:val="single" w:sz="8" w:space="0" w:color="auto"/>
            </w:tcBorders>
            <w:vAlign w:val="center"/>
            <w:hideMark/>
          </w:tcPr>
          <w:p w14:paraId="7DFE1C45"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Unlikely</w:t>
            </w:r>
          </w:p>
        </w:tc>
        <w:tc>
          <w:tcPr>
            <w:tcW w:w="1576" w:type="dxa"/>
            <w:tcBorders>
              <w:top w:val="nil"/>
              <w:left w:val="nil"/>
              <w:bottom w:val="single" w:sz="4" w:space="0" w:color="auto"/>
              <w:right w:val="single" w:sz="8" w:space="0" w:color="auto"/>
            </w:tcBorders>
            <w:vAlign w:val="center"/>
            <w:hideMark/>
          </w:tcPr>
          <w:p w14:paraId="188F6FF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4" w:space="0" w:color="auto"/>
              <w:right w:val="single" w:sz="8" w:space="0" w:color="auto"/>
            </w:tcBorders>
            <w:shd w:val="clear" w:color="000000" w:fill="FFFF00"/>
            <w:vAlign w:val="center"/>
            <w:hideMark/>
          </w:tcPr>
          <w:p w14:paraId="51C6212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4" w:space="0" w:color="auto"/>
              <w:right w:val="single" w:sz="8" w:space="0" w:color="auto"/>
            </w:tcBorders>
            <w:vAlign w:val="center"/>
            <w:hideMark/>
          </w:tcPr>
          <w:p w14:paraId="38F3B721" w14:textId="426C838B"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Establish and adher</w:t>
            </w:r>
            <w:r w:rsidR="00414ACE">
              <w:rPr>
                <w:rFonts w:ascii="Calibri" w:eastAsia="Times New Roman" w:hAnsi="Calibri" w:cs="Calibri"/>
                <w:color w:val="000000"/>
                <w:sz w:val="20"/>
                <w:szCs w:val="20"/>
              </w:rPr>
              <w:t>e</w:t>
            </w:r>
            <w:r w:rsidRPr="008D287C">
              <w:rPr>
                <w:rFonts w:ascii="Calibri" w:eastAsia="Times New Roman" w:hAnsi="Calibri" w:cs="Calibri"/>
                <w:color w:val="000000"/>
                <w:sz w:val="20"/>
                <w:szCs w:val="20"/>
              </w:rPr>
              <w:t xml:space="preserve"> to the </w:t>
            </w:r>
            <w:r w:rsidR="002E0F5C">
              <w:rPr>
                <w:rFonts w:ascii="Calibri" w:eastAsia="Times New Roman" w:hAnsi="Calibri" w:cs="Calibri"/>
                <w:color w:val="000000"/>
                <w:sz w:val="20"/>
                <w:szCs w:val="20"/>
              </w:rPr>
              <w:t xml:space="preserve">defined </w:t>
            </w:r>
            <w:r w:rsidRPr="008D287C">
              <w:rPr>
                <w:rFonts w:ascii="Calibri" w:eastAsia="Times New Roman" w:hAnsi="Calibri" w:cs="Calibri"/>
                <w:color w:val="000000"/>
                <w:sz w:val="20"/>
                <w:szCs w:val="20"/>
              </w:rPr>
              <w:t xml:space="preserve">strategic direction (no formal strategic plan in place); ongoing discussions around the value of a formalized strategic plan; new Board Orientation format </w:t>
            </w:r>
            <w:r w:rsidR="00281F5C">
              <w:rPr>
                <w:rFonts w:ascii="Calibri" w:eastAsia="Times New Roman" w:hAnsi="Calibri" w:cs="Calibri"/>
                <w:color w:val="000000"/>
                <w:sz w:val="20"/>
                <w:szCs w:val="20"/>
              </w:rPr>
              <w:t xml:space="preserve">recently </w:t>
            </w:r>
            <w:r w:rsidRPr="008D287C">
              <w:rPr>
                <w:rFonts w:ascii="Calibri" w:eastAsia="Times New Roman" w:hAnsi="Calibri" w:cs="Calibri"/>
                <w:color w:val="000000"/>
                <w:sz w:val="20"/>
                <w:szCs w:val="20"/>
              </w:rPr>
              <w:t>introduced.</w:t>
            </w:r>
          </w:p>
        </w:tc>
      </w:tr>
      <w:tr w:rsidR="008D287C" w:rsidRPr="008D287C" w14:paraId="1FFB3FD8" w14:textId="77777777" w:rsidTr="004B47D0">
        <w:trPr>
          <w:trHeight w:val="1884"/>
        </w:trPr>
        <w:tc>
          <w:tcPr>
            <w:tcW w:w="1776" w:type="dxa"/>
            <w:tcBorders>
              <w:top w:val="nil"/>
              <w:left w:val="nil"/>
              <w:bottom w:val="nil"/>
              <w:right w:val="nil"/>
            </w:tcBorders>
            <w:hideMark/>
          </w:tcPr>
          <w:p w14:paraId="43A28008"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single" w:sz="4" w:space="0" w:color="auto"/>
              <w:left w:val="single" w:sz="8" w:space="0" w:color="auto"/>
              <w:bottom w:val="single" w:sz="8" w:space="0" w:color="auto"/>
              <w:right w:val="single" w:sz="8" w:space="0" w:color="auto"/>
            </w:tcBorders>
            <w:vAlign w:val="center"/>
            <w:hideMark/>
          </w:tcPr>
          <w:p w14:paraId="4C16918A" w14:textId="7649BFA3"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Perceived lack of diversity on Board (DEI</w:t>
            </w:r>
            <w:r w:rsidR="004379E4">
              <w:rPr>
                <w:rFonts w:ascii="Calibri" w:eastAsia="Times New Roman" w:hAnsi="Calibri" w:cs="Calibri"/>
                <w:color w:val="000000"/>
                <w:sz w:val="20"/>
                <w:szCs w:val="20"/>
              </w:rPr>
              <w:t>A</w:t>
            </w:r>
            <w:r w:rsidRPr="008D287C">
              <w:rPr>
                <w:rFonts w:ascii="Calibri" w:eastAsia="Times New Roman" w:hAnsi="Calibri" w:cs="Calibri"/>
                <w:color w:val="000000"/>
                <w:sz w:val="20"/>
                <w:szCs w:val="20"/>
              </w:rPr>
              <w:t>)</w:t>
            </w:r>
          </w:p>
        </w:tc>
        <w:tc>
          <w:tcPr>
            <w:tcW w:w="1596" w:type="dxa"/>
            <w:tcBorders>
              <w:top w:val="single" w:sz="4" w:space="0" w:color="auto"/>
              <w:left w:val="nil"/>
              <w:bottom w:val="single" w:sz="8" w:space="0" w:color="auto"/>
              <w:right w:val="single" w:sz="8" w:space="0" w:color="auto"/>
            </w:tcBorders>
            <w:vAlign w:val="center"/>
            <w:hideMark/>
          </w:tcPr>
          <w:p w14:paraId="18DA44C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Likely</w:t>
            </w:r>
          </w:p>
        </w:tc>
        <w:tc>
          <w:tcPr>
            <w:tcW w:w="1576" w:type="dxa"/>
            <w:tcBorders>
              <w:top w:val="single" w:sz="4" w:space="0" w:color="auto"/>
              <w:left w:val="nil"/>
              <w:bottom w:val="single" w:sz="8" w:space="0" w:color="auto"/>
              <w:right w:val="single" w:sz="8" w:space="0" w:color="auto"/>
            </w:tcBorders>
            <w:vAlign w:val="center"/>
            <w:hideMark/>
          </w:tcPr>
          <w:p w14:paraId="088D8AD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single" w:sz="4" w:space="0" w:color="auto"/>
              <w:left w:val="nil"/>
              <w:bottom w:val="single" w:sz="8" w:space="0" w:color="auto"/>
              <w:right w:val="single" w:sz="8" w:space="0" w:color="auto"/>
            </w:tcBorders>
            <w:shd w:val="clear" w:color="000000" w:fill="FFFF00"/>
            <w:vAlign w:val="center"/>
            <w:hideMark/>
          </w:tcPr>
          <w:p w14:paraId="3914404F"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single" w:sz="4" w:space="0" w:color="auto"/>
              <w:left w:val="nil"/>
              <w:bottom w:val="single" w:sz="8" w:space="0" w:color="auto"/>
              <w:right w:val="single" w:sz="8" w:space="0" w:color="auto"/>
            </w:tcBorders>
            <w:vAlign w:val="center"/>
            <w:hideMark/>
          </w:tcPr>
          <w:p w14:paraId="58F3E73F"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Creating awareness among the membership; encouraging continued engagement in diversity with elected officials; Advisory Committee on Equity &amp; Community Wellbeing established and operational; ability to seek out diverse viewpoints if not a strength within the Board;  membership survey planned after elections to assess.</w:t>
            </w:r>
          </w:p>
        </w:tc>
      </w:tr>
      <w:tr w:rsidR="008D287C" w:rsidRPr="008D287C" w14:paraId="17F10011" w14:textId="77777777" w:rsidTr="008D287C">
        <w:trPr>
          <w:trHeight w:val="1536"/>
        </w:trPr>
        <w:tc>
          <w:tcPr>
            <w:tcW w:w="1776" w:type="dxa"/>
            <w:tcBorders>
              <w:top w:val="nil"/>
              <w:left w:val="nil"/>
              <w:bottom w:val="nil"/>
              <w:right w:val="nil"/>
            </w:tcBorders>
            <w:hideMark/>
          </w:tcPr>
          <w:p w14:paraId="04CD00C9"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47A3E52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Lack of interest in running for Board</w:t>
            </w:r>
          </w:p>
        </w:tc>
        <w:tc>
          <w:tcPr>
            <w:tcW w:w="1596" w:type="dxa"/>
            <w:tcBorders>
              <w:top w:val="nil"/>
              <w:left w:val="nil"/>
              <w:bottom w:val="single" w:sz="8" w:space="0" w:color="auto"/>
              <w:right w:val="single" w:sz="8" w:space="0" w:color="auto"/>
            </w:tcBorders>
            <w:vAlign w:val="center"/>
            <w:hideMark/>
          </w:tcPr>
          <w:p w14:paraId="759AE39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521A945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60BA92B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709B7C00"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Maintain high member engagement and board positions are extensively promoted; value proposition of Board experience is emphasized; Board members are given an opportunity to evaluate the experience, and this provides information that can be acted on.</w:t>
            </w:r>
          </w:p>
        </w:tc>
      </w:tr>
      <w:tr w:rsidR="008D287C" w:rsidRPr="008D287C" w14:paraId="0E392640" w14:textId="77777777" w:rsidTr="008D287C">
        <w:trPr>
          <w:trHeight w:val="1512"/>
        </w:trPr>
        <w:tc>
          <w:tcPr>
            <w:tcW w:w="1776" w:type="dxa"/>
            <w:tcBorders>
              <w:top w:val="nil"/>
              <w:left w:val="nil"/>
              <w:bottom w:val="nil"/>
              <w:right w:val="nil"/>
            </w:tcBorders>
            <w:hideMark/>
          </w:tcPr>
          <w:p w14:paraId="139C4D97"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6E59634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Limited engagement in Board participation</w:t>
            </w:r>
          </w:p>
        </w:tc>
        <w:tc>
          <w:tcPr>
            <w:tcW w:w="1596" w:type="dxa"/>
            <w:tcBorders>
              <w:top w:val="nil"/>
              <w:left w:val="nil"/>
              <w:bottom w:val="single" w:sz="8" w:space="0" w:color="auto"/>
              <w:right w:val="single" w:sz="8" w:space="0" w:color="auto"/>
            </w:tcBorders>
            <w:vAlign w:val="center"/>
            <w:hideMark/>
          </w:tcPr>
          <w:p w14:paraId="7642C1A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7A0C37A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41BFD19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76D96D0B" w14:textId="60789CE5"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New format for the Board education program, strong familiarity with by-laws; Terms of Reference are regularly updated; meaningful work is assigned; organization is respectful of time commitments of members </w:t>
            </w:r>
            <w:r w:rsidR="00E03126">
              <w:rPr>
                <w:rFonts w:ascii="Calibri" w:eastAsia="Times New Roman" w:hAnsi="Calibri" w:cs="Calibri"/>
                <w:color w:val="000000"/>
                <w:sz w:val="20"/>
                <w:szCs w:val="20"/>
              </w:rPr>
              <w:t>who participate</w:t>
            </w:r>
            <w:r w:rsidR="00586834">
              <w:rPr>
                <w:rFonts w:ascii="Calibri" w:eastAsia="Times New Roman" w:hAnsi="Calibri" w:cs="Calibri"/>
                <w:color w:val="000000"/>
                <w:sz w:val="20"/>
                <w:szCs w:val="20"/>
              </w:rPr>
              <w:t xml:space="preserve">; Board </w:t>
            </w:r>
            <w:r w:rsidR="00356E3A">
              <w:rPr>
                <w:rFonts w:ascii="Calibri" w:eastAsia="Times New Roman" w:hAnsi="Calibri" w:cs="Calibri"/>
                <w:color w:val="000000"/>
                <w:sz w:val="20"/>
                <w:szCs w:val="20"/>
              </w:rPr>
              <w:t xml:space="preserve">survey completed on an annual </w:t>
            </w:r>
            <w:r w:rsidR="00FE79F8">
              <w:rPr>
                <w:rFonts w:ascii="Calibri" w:eastAsia="Times New Roman" w:hAnsi="Calibri" w:cs="Calibri"/>
                <w:color w:val="000000"/>
                <w:sz w:val="20"/>
                <w:szCs w:val="20"/>
              </w:rPr>
              <w:t>basis</w:t>
            </w:r>
            <w:r w:rsidRPr="008D287C">
              <w:rPr>
                <w:rFonts w:ascii="Calibri" w:eastAsia="Times New Roman" w:hAnsi="Calibri" w:cs="Calibri"/>
                <w:color w:val="000000"/>
                <w:sz w:val="20"/>
                <w:szCs w:val="20"/>
              </w:rPr>
              <w:t>.</w:t>
            </w:r>
          </w:p>
        </w:tc>
      </w:tr>
      <w:tr w:rsidR="008D287C" w:rsidRPr="008D287C" w14:paraId="49B4FAB5" w14:textId="77777777" w:rsidTr="008D287C">
        <w:trPr>
          <w:trHeight w:val="1560"/>
        </w:trPr>
        <w:tc>
          <w:tcPr>
            <w:tcW w:w="1776" w:type="dxa"/>
            <w:tcBorders>
              <w:top w:val="nil"/>
              <w:left w:val="nil"/>
              <w:bottom w:val="nil"/>
              <w:right w:val="nil"/>
            </w:tcBorders>
            <w:hideMark/>
          </w:tcPr>
          <w:p w14:paraId="417D246A"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78EAD51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Lack of interest/engagement in Committee participation</w:t>
            </w:r>
          </w:p>
        </w:tc>
        <w:tc>
          <w:tcPr>
            <w:tcW w:w="1596" w:type="dxa"/>
            <w:tcBorders>
              <w:top w:val="nil"/>
              <w:left w:val="nil"/>
              <w:bottom w:val="single" w:sz="8" w:space="0" w:color="auto"/>
              <w:right w:val="single" w:sz="8" w:space="0" w:color="auto"/>
            </w:tcBorders>
            <w:vAlign w:val="center"/>
            <w:hideMark/>
          </w:tcPr>
          <w:p w14:paraId="63FCCFD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74BEE6F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5AAE71F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7157A07E" w14:textId="30241E0F"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Committee Appointment Policy; comprehensive outreach for open and available positions; Terms of Reference are regularly updated; meaningful work is assigned; organization is respectful of time commitments of members that are participating.</w:t>
            </w:r>
          </w:p>
        </w:tc>
      </w:tr>
      <w:tr w:rsidR="008D287C" w:rsidRPr="008D287C" w14:paraId="4D9E77D5" w14:textId="77777777" w:rsidTr="008D287C">
        <w:trPr>
          <w:trHeight w:val="936"/>
        </w:trPr>
        <w:tc>
          <w:tcPr>
            <w:tcW w:w="1776" w:type="dxa"/>
            <w:tcBorders>
              <w:top w:val="nil"/>
              <w:left w:val="nil"/>
              <w:bottom w:val="nil"/>
              <w:right w:val="nil"/>
            </w:tcBorders>
            <w:hideMark/>
          </w:tcPr>
          <w:p w14:paraId="3F02D230"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6A464C82"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Loss of core documentation</w:t>
            </w:r>
          </w:p>
        </w:tc>
        <w:tc>
          <w:tcPr>
            <w:tcW w:w="1596" w:type="dxa"/>
            <w:tcBorders>
              <w:top w:val="nil"/>
              <w:left w:val="nil"/>
              <w:bottom w:val="single" w:sz="8" w:space="0" w:color="auto"/>
              <w:right w:val="single" w:sz="8" w:space="0" w:color="auto"/>
            </w:tcBorders>
            <w:vAlign w:val="center"/>
            <w:hideMark/>
          </w:tcPr>
          <w:p w14:paraId="25F2059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50CD876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77D0B64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1CED107E" w14:textId="431D29F9"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Records management practices are in place; IT backup is available through a contracted external vendor; cloud server and backup cloud server in place</w:t>
            </w:r>
            <w:r w:rsidR="00920371">
              <w:rPr>
                <w:rFonts w:ascii="Calibri" w:eastAsia="Times New Roman" w:hAnsi="Calibri" w:cs="Calibri"/>
                <w:color w:val="000000"/>
                <w:sz w:val="20"/>
                <w:szCs w:val="20"/>
              </w:rPr>
              <w:t xml:space="preserve">: FOIPOP training; naming convention </w:t>
            </w:r>
            <w:r w:rsidR="008F37B1">
              <w:rPr>
                <w:rFonts w:ascii="Calibri" w:eastAsia="Times New Roman" w:hAnsi="Calibri" w:cs="Calibri"/>
                <w:color w:val="000000"/>
                <w:sz w:val="20"/>
                <w:szCs w:val="20"/>
              </w:rPr>
              <w:t>required.</w:t>
            </w:r>
          </w:p>
        </w:tc>
      </w:tr>
      <w:tr w:rsidR="008D287C" w:rsidRPr="008D287C" w14:paraId="30628054" w14:textId="77777777" w:rsidTr="004B47D0">
        <w:trPr>
          <w:trHeight w:val="1908"/>
        </w:trPr>
        <w:tc>
          <w:tcPr>
            <w:tcW w:w="1776" w:type="dxa"/>
            <w:tcBorders>
              <w:top w:val="nil"/>
              <w:left w:val="nil"/>
              <w:bottom w:val="nil"/>
              <w:right w:val="nil"/>
            </w:tcBorders>
            <w:hideMark/>
          </w:tcPr>
          <w:p w14:paraId="5367F9D9"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4" w:space="0" w:color="auto"/>
              <w:right w:val="single" w:sz="8" w:space="0" w:color="auto"/>
            </w:tcBorders>
            <w:vAlign w:val="center"/>
            <w:hideMark/>
          </w:tcPr>
          <w:p w14:paraId="56E8E102"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Policy incongruence with Province or stakeholders</w:t>
            </w:r>
          </w:p>
        </w:tc>
        <w:tc>
          <w:tcPr>
            <w:tcW w:w="1596" w:type="dxa"/>
            <w:tcBorders>
              <w:top w:val="nil"/>
              <w:left w:val="nil"/>
              <w:bottom w:val="single" w:sz="4" w:space="0" w:color="auto"/>
              <w:right w:val="single" w:sz="8" w:space="0" w:color="auto"/>
            </w:tcBorders>
            <w:vAlign w:val="center"/>
            <w:hideMark/>
          </w:tcPr>
          <w:p w14:paraId="3F0CE823" w14:textId="3397D494" w:rsidR="008D287C" w:rsidRPr="008D287C" w:rsidRDefault="005467C1"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Likely</w:t>
            </w:r>
          </w:p>
        </w:tc>
        <w:tc>
          <w:tcPr>
            <w:tcW w:w="1576" w:type="dxa"/>
            <w:tcBorders>
              <w:top w:val="nil"/>
              <w:left w:val="nil"/>
              <w:bottom w:val="single" w:sz="4" w:space="0" w:color="auto"/>
              <w:right w:val="single" w:sz="8" w:space="0" w:color="auto"/>
            </w:tcBorders>
            <w:vAlign w:val="center"/>
            <w:hideMark/>
          </w:tcPr>
          <w:p w14:paraId="6D325B75"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4" w:space="0" w:color="auto"/>
              <w:right w:val="single" w:sz="8" w:space="0" w:color="auto"/>
            </w:tcBorders>
            <w:shd w:val="clear" w:color="auto" w:fill="C45911" w:themeFill="accent2" w:themeFillShade="BF"/>
            <w:vAlign w:val="center"/>
            <w:hideMark/>
          </w:tcPr>
          <w:p w14:paraId="3FEB820D" w14:textId="54EEF091" w:rsidR="008D287C" w:rsidRPr="008D287C" w:rsidRDefault="005467C1"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High</w:t>
            </w:r>
          </w:p>
        </w:tc>
        <w:tc>
          <w:tcPr>
            <w:tcW w:w="6156" w:type="dxa"/>
            <w:tcBorders>
              <w:top w:val="nil"/>
              <w:left w:val="nil"/>
              <w:bottom w:val="single" w:sz="4" w:space="0" w:color="auto"/>
              <w:right w:val="single" w:sz="8" w:space="0" w:color="auto"/>
            </w:tcBorders>
            <w:vAlign w:val="center"/>
            <w:hideMark/>
          </w:tcPr>
          <w:p w14:paraId="48E911F3" w14:textId="6BC076FD"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Needs to be evaluated on a case-by-case basis; risk analysis conducted; organization communicates rationale for areas of possible incongruence to members; </w:t>
            </w:r>
            <w:r w:rsidRPr="000B25D4">
              <w:rPr>
                <w:rFonts w:ascii="Calibri" w:eastAsia="Times New Roman" w:hAnsi="Calibri" w:cs="Calibri"/>
                <w:color w:val="000000"/>
                <w:sz w:val="20"/>
                <w:szCs w:val="20"/>
              </w:rPr>
              <w:t>organization</w:t>
            </w:r>
            <w:r w:rsidRPr="008D287C">
              <w:rPr>
                <w:rFonts w:ascii="Calibri" w:eastAsia="Times New Roman" w:hAnsi="Calibri" w:cs="Calibri"/>
                <w:color w:val="000000"/>
                <w:sz w:val="20"/>
                <w:szCs w:val="20"/>
              </w:rPr>
              <w:t xml:space="preserve"> routinely reassesses priorities to eliminate this possibility; process for determining advocacy priorities is systematic; Board education.</w:t>
            </w:r>
          </w:p>
        </w:tc>
      </w:tr>
      <w:tr w:rsidR="008D287C" w:rsidRPr="008D287C" w14:paraId="06EC9BD1" w14:textId="77777777" w:rsidTr="004B47D0">
        <w:trPr>
          <w:trHeight w:val="1116"/>
        </w:trPr>
        <w:tc>
          <w:tcPr>
            <w:tcW w:w="1776" w:type="dxa"/>
            <w:tcBorders>
              <w:top w:val="nil"/>
              <w:left w:val="nil"/>
              <w:bottom w:val="nil"/>
              <w:right w:val="nil"/>
            </w:tcBorders>
            <w:hideMark/>
          </w:tcPr>
          <w:p w14:paraId="4DE1E351"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single" w:sz="4" w:space="0" w:color="auto"/>
              <w:left w:val="single" w:sz="8" w:space="0" w:color="auto"/>
              <w:bottom w:val="single" w:sz="8" w:space="0" w:color="auto"/>
              <w:right w:val="single" w:sz="8" w:space="0" w:color="auto"/>
            </w:tcBorders>
            <w:vAlign w:val="center"/>
            <w:hideMark/>
          </w:tcPr>
          <w:p w14:paraId="6DDA7B3B" w14:textId="22528FC5"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Political activity</w:t>
            </w:r>
            <w:r w:rsidR="00EB6DF3">
              <w:rPr>
                <w:rFonts w:ascii="Calibri" w:eastAsia="Times New Roman" w:hAnsi="Calibri" w:cs="Calibri"/>
                <w:color w:val="000000"/>
                <w:sz w:val="20"/>
                <w:szCs w:val="20"/>
              </w:rPr>
              <w:t>/affiliation</w:t>
            </w:r>
            <w:r w:rsidRPr="008D287C">
              <w:rPr>
                <w:rFonts w:ascii="Calibri" w:eastAsia="Times New Roman" w:hAnsi="Calibri" w:cs="Calibri"/>
                <w:color w:val="000000"/>
                <w:sz w:val="20"/>
                <w:szCs w:val="20"/>
              </w:rPr>
              <w:t xml:space="preserve"> of Board members</w:t>
            </w:r>
          </w:p>
        </w:tc>
        <w:tc>
          <w:tcPr>
            <w:tcW w:w="1596" w:type="dxa"/>
            <w:tcBorders>
              <w:top w:val="single" w:sz="4" w:space="0" w:color="auto"/>
              <w:left w:val="nil"/>
              <w:bottom w:val="single" w:sz="8" w:space="0" w:color="auto"/>
              <w:right w:val="single" w:sz="8" w:space="0" w:color="auto"/>
            </w:tcBorders>
            <w:vAlign w:val="center"/>
            <w:hideMark/>
          </w:tcPr>
          <w:p w14:paraId="71B67A58" w14:textId="59577C97" w:rsidR="008D287C" w:rsidRPr="008D287C" w:rsidRDefault="000B25D4"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Likely</w:t>
            </w:r>
          </w:p>
        </w:tc>
        <w:tc>
          <w:tcPr>
            <w:tcW w:w="1576" w:type="dxa"/>
            <w:tcBorders>
              <w:top w:val="single" w:sz="4" w:space="0" w:color="auto"/>
              <w:left w:val="nil"/>
              <w:bottom w:val="single" w:sz="8" w:space="0" w:color="auto"/>
              <w:right w:val="single" w:sz="8" w:space="0" w:color="auto"/>
            </w:tcBorders>
            <w:vAlign w:val="center"/>
            <w:hideMark/>
          </w:tcPr>
          <w:p w14:paraId="0080822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single" w:sz="4" w:space="0" w:color="auto"/>
              <w:left w:val="nil"/>
              <w:bottom w:val="single" w:sz="8" w:space="0" w:color="auto"/>
              <w:right w:val="single" w:sz="8" w:space="0" w:color="auto"/>
            </w:tcBorders>
            <w:shd w:val="clear" w:color="auto" w:fill="C45911" w:themeFill="accent2" w:themeFillShade="BF"/>
            <w:vAlign w:val="center"/>
            <w:hideMark/>
          </w:tcPr>
          <w:p w14:paraId="5D0EA3BB" w14:textId="6AFA9EF2" w:rsidR="008D287C" w:rsidRPr="008D287C" w:rsidRDefault="00EB6DF3"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High</w:t>
            </w:r>
          </w:p>
        </w:tc>
        <w:tc>
          <w:tcPr>
            <w:tcW w:w="6156" w:type="dxa"/>
            <w:tcBorders>
              <w:top w:val="single" w:sz="4" w:space="0" w:color="auto"/>
              <w:left w:val="nil"/>
              <w:bottom w:val="single" w:sz="8" w:space="0" w:color="auto"/>
              <w:right w:val="single" w:sz="8" w:space="0" w:color="auto"/>
            </w:tcBorders>
            <w:vAlign w:val="center"/>
            <w:hideMark/>
          </w:tcPr>
          <w:p w14:paraId="15AC1D4C" w14:textId="439DC971"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Policy</w:t>
            </w:r>
            <w:r w:rsidR="001B21AA">
              <w:rPr>
                <w:rFonts w:ascii="Calibri" w:eastAsia="Times New Roman" w:hAnsi="Calibri" w:cs="Calibri"/>
                <w:color w:val="000000"/>
                <w:sz w:val="20"/>
                <w:szCs w:val="20"/>
              </w:rPr>
              <w:t xml:space="preserve"> is</w:t>
            </w:r>
            <w:r w:rsidRPr="008D287C">
              <w:rPr>
                <w:rFonts w:ascii="Calibri" w:eastAsia="Times New Roman" w:hAnsi="Calibri" w:cs="Calibri"/>
                <w:color w:val="000000"/>
                <w:sz w:val="20"/>
                <w:szCs w:val="20"/>
              </w:rPr>
              <w:t xml:space="preserve"> in place regarding Board members running for political office; roles of Pres/CEO are being reviewed; Board education.</w:t>
            </w:r>
          </w:p>
        </w:tc>
      </w:tr>
      <w:tr w:rsidR="008D287C" w:rsidRPr="008D287C" w14:paraId="4B429898" w14:textId="77777777" w:rsidTr="008D287C">
        <w:trPr>
          <w:trHeight w:val="672"/>
        </w:trPr>
        <w:tc>
          <w:tcPr>
            <w:tcW w:w="1776" w:type="dxa"/>
            <w:tcBorders>
              <w:top w:val="nil"/>
              <w:left w:val="nil"/>
              <w:bottom w:val="nil"/>
              <w:right w:val="nil"/>
            </w:tcBorders>
            <w:hideMark/>
          </w:tcPr>
          <w:p w14:paraId="3E226509"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488AE86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Political activity of staff</w:t>
            </w:r>
          </w:p>
        </w:tc>
        <w:tc>
          <w:tcPr>
            <w:tcW w:w="1596" w:type="dxa"/>
            <w:tcBorders>
              <w:top w:val="nil"/>
              <w:left w:val="nil"/>
              <w:bottom w:val="single" w:sz="8" w:space="0" w:color="auto"/>
              <w:right w:val="single" w:sz="8" w:space="0" w:color="auto"/>
            </w:tcBorders>
            <w:vAlign w:val="center"/>
            <w:hideMark/>
          </w:tcPr>
          <w:p w14:paraId="1401B07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1FDBE6A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522B6BB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66CFC197"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Staff best practices will be implemented to address this.</w:t>
            </w:r>
          </w:p>
        </w:tc>
      </w:tr>
      <w:tr w:rsidR="008D287C" w:rsidRPr="008D287C" w14:paraId="72F2A815" w14:textId="77777777" w:rsidTr="008D287C">
        <w:trPr>
          <w:trHeight w:val="660"/>
        </w:trPr>
        <w:tc>
          <w:tcPr>
            <w:tcW w:w="1776" w:type="dxa"/>
            <w:tcBorders>
              <w:top w:val="nil"/>
              <w:left w:val="nil"/>
              <w:bottom w:val="nil"/>
              <w:right w:val="nil"/>
            </w:tcBorders>
            <w:hideMark/>
          </w:tcPr>
          <w:p w14:paraId="54E4D7C8"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6A37085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Resignation/loss of Board members</w:t>
            </w:r>
          </w:p>
        </w:tc>
        <w:tc>
          <w:tcPr>
            <w:tcW w:w="1596" w:type="dxa"/>
            <w:tcBorders>
              <w:top w:val="nil"/>
              <w:left w:val="nil"/>
              <w:bottom w:val="single" w:sz="8" w:space="0" w:color="auto"/>
              <w:right w:val="single" w:sz="8" w:space="0" w:color="auto"/>
            </w:tcBorders>
            <w:vAlign w:val="center"/>
            <w:hideMark/>
          </w:tcPr>
          <w:p w14:paraId="5C470482"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2B84DD7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23303FA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0D077A7C"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By-laws and Election Policy in place to deal with this.</w:t>
            </w:r>
          </w:p>
        </w:tc>
      </w:tr>
      <w:tr w:rsidR="008D287C" w:rsidRPr="008D287C" w14:paraId="3901BA63" w14:textId="77777777" w:rsidTr="008D287C">
        <w:trPr>
          <w:trHeight w:val="1032"/>
        </w:trPr>
        <w:tc>
          <w:tcPr>
            <w:tcW w:w="1776" w:type="dxa"/>
            <w:tcBorders>
              <w:top w:val="single" w:sz="8" w:space="0" w:color="auto"/>
              <w:left w:val="nil"/>
              <w:bottom w:val="nil"/>
              <w:right w:val="single" w:sz="8" w:space="0" w:color="auto"/>
            </w:tcBorders>
            <w:vAlign w:val="center"/>
            <w:hideMark/>
          </w:tcPr>
          <w:p w14:paraId="622720F1"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Health &amp; Safety</w:t>
            </w:r>
          </w:p>
        </w:tc>
        <w:tc>
          <w:tcPr>
            <w:tcW w:w="2118" w:type="dxa"/>
            <w:tcBorders>
              <w:top w:val="nil"/>
              <w:left w:val="nil"/>
              <w:bottom w:val="single" w:sz="8" w:space="0" w:color="auto"/>
              <w:right w:val="single" w:sz="8" w:space="0" w:color="auto"/>
            </w:tcBorders>
            <w:vAlign w:val="center"/>
            <w:hideMark/>
          </w:tcPr>
          <w:p w14:paraId="1227AC5F"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Liability due to lack of oversight/planning</w:t>
            </w:r>
          </w:p>
        </w:tc>
        <w:tc>
          <w:tcPr>
            <w:tcW w:w="1596" w:type="dxa"/>
            <w:tcBorders>
              <w:top w:val="nil"/>
              <w:left w:val="nil"/>
              <w:bottom w:val="single" w:sz="8" w:space="0" w:color="auto"/>
              <w:right w:val="single" w:sz="8" w:space="0" w:color="auto"/>
            </w:tcBorders>
            <w:vAlign w:val="center"/>
            <w:hideMark/>
          </w:tcPr>
          <w:p w14:paraId="170C84C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564F0FC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321D095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1EFBB2A9"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OHS Policy holds managers to account for oversight and planning; training; management process is in place to evaluate/respond to risks; regular inspections conducted.</w:t>
            </w:r>
          </w:p>
        </w:tc>
      </w:tr>
      <w:tr w:rsidR="008D287C" w:rsidRPr="008D287C" w14:paraId="6FEF49EE" w14:textId="77777777" w:rsidTr="008D287C">
        <w:trPr>
          <w:trHeight w:val="1116"/>
        </w:trPr>
        <w:tc>
          <w:tcPr>
            <w:tcW w:w="1776" w:type="dxa"/>
            <w:tcBorders>
              <w:top w:val="nil"/>
              <w:left w:val="nil"/>
              <w:bottom w:val="nil"/>
              <w:right w:val="nil"/>
            </w:tcBorders>
            <w:hideMark/>
          </w:tcPr>
          <w:p w14:paraId="12583C43"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5E0C971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Pandemic/Public Health Emergencies</w:t>
            </w:r>
          </w:p>
        </w:tc>
        <w:tc>
          <w:tcPr>
            <w:tcW w:w="1596" w:type="dxa"/>
            <w:tcBorders>
              <w:top w:val="nil"/>
              <w:left w:val="nil"/>
              <w:bottom w:val="single" w:sz="8" w:space="0" w:color="auto"/>
              <w:right w:val="single" w:sz="8" w:space="0" w:color="auto"/>
            </w:tcBorders>
            <w:vAlign w:val="center"/>
            <w:hideMark/>
          </w:tcPr>
          <w:p w14:paraId="240CB1B5"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160A459F"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231DA89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43D8D1A4"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Staff encouraged to adhere to Public Health guidelines re: flu season, COVID-19; sanitizers, hand wipes available on site; washrooms feature signage on proper handwashing techniques.</w:t>
            </w:r>
          </w:p>
        </w:tc>
      </w:tr>
      <w:tr w:rsidR="008D287C" w:rsidRPr="008D287C" w14:paraId="4D4D87EA" w14:textId="77777777" w:rsidTr="008D287C">
        <w:trPr>
          <w:trHeight w:val="1128"/>
        </w:trPr>
        <w:tc>
          <w:tcPr>
            <w:tcW w:w="1776" w:type="dxa"/>
            <w:tcBorders>
              <w:top w:val="nil"/>
              <w:left w:val="nil"/>
              <w:bottom w:val="nil"/>
              <w:right w:val="nil"/>
            </w:tcBorders>
            <w:hideMark/>
          </w:tcPr>
          <w:p w14:paraId="49F428FF"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36D58A1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Staff absence due to disability</w:t>
            </w:r>
          </w:p>
        </w:tc>
        <w:tc>
          <w:tcPr>
            <w:tcW w:w="1596" w:type="dxa"/>
            <w:tcBorders>
              <w:top w:val="nil"/>
              <w:left w:val="nil"/>
              <w:bottom w:val="single" w:sz="8" w:space="0" w:color="auto"/>
              <w:right w:val="single" w:sz="8" w:space="0" w:color="auto"/>
            </w:tcBorders>
            <w:vAlign w:val="center"/>
            <w:hideMark/>
          </w:tcPr>
          <w:p w14:paraId="391F6AD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0551EBA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32CA5F0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18AD5974" w14:textId="62BEDD70"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Early Assistance program for short term absences; LTD plan in place for employees; procedures being developed to enable a degree of cross-training; accommodations if necessary; Accommodation Policy </w:t>
            </w:r>
            <w:r w:rsidR="009F7931">
              <w:rPr>
                <w:rFonts w:ascii="Calibri" w:eastAsia="Times New Roman" w:hAnsi="Calibri" w:cs="Calibri"/>
                <w:color w:val="000000"/>
                <w:sz w:val="20"/>
                <w:szCs w:val="20"/>
              </w:rPr>
              <w:t>in place</w:t>
            </w:r>
            <w:r w:rsidRPr="008D287C">
              <w:rPr>
                <w:rFonts w:ascii="Calibri" w:eastAsia="Times New Roman" w:hAnsi="Calibri" w:cs="Calibri"/>
                <w:color w:val="000000"/>
                <w:sz w:val="20"/>
                <w:szCs w:val="20"/>
              </w:rPr>
              <w:t>.</w:t>
            </w:r>
          </w:p>
        </w:tc>
      </w:tr>
      <w:tr w:rsidR="008D287C" w:rsidRPr="008D287C" w14:paraId="5724AB3F" w14:textId="77777777" w:rsidTr="008D287C">
        <w:trPr>
          <w:trHeight w:val="960"/>
        </w:trPr>
        <w:tc>
          <w:tcPr>
            <w:tcW w:w="1776" w:type="dxa"/>
            <w:tcBorders>
              <w:top w:val="nil"/>
              <w:left w:val="nil"/>
              <w:bottom w:val="nil"/>
              <w:right w:val="nil"/>
            </w:tcBorders>
            <w:hideMark/>
          </w:tcPr>
          <w:p w14:paraId="3263EE81"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3EC1A42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Staff injury at work</w:t>
            </w:r>
          </w:p>
        </w:tc>
        <w:tc>
          <w:tcPr>
            <w:tcW w:w="1596" w:type="dxa"/>
            <w:tcBorders>
              <w:top w:val="nil"/>
              <w:left w:val="nil"/>
              <w:bottom w:val="single" w:sz="8" w:space="0" w:color="auto"/>
              <w:right w:val="single" w:sz="8" w:space="0" w:color="auto"/>
            </w:tcBorders>
            <w:vAlign w:val="center"/>
            <w:hideMark/>
          </w:tcPr>
          <w:p w14:paraId="25C43FF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74D6DCF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Minor</w:t>
            </w:r>
          </w:p>
        </w:tc>
        <w:tc>
          <w:tcPr>
            <w:tcW w:w="1776" w:type="dxa"/>
            <w:tcBorders>
              <w:top w:val="nil"/>
              <w:left w:val="nil"/>
              <w:bottom w:val="single" w:sz="8" w:space="0" w:color="auto"/>
              <w:right w:val="single" w:sz="8" w:space="0" w:color="auto"/>
            </w:tcBorders>
            <w:shd w:val="clear" w:color="000000" w:fill="70AD47"/>
            <w:vAlign w:val="center"/>
            <w:hideMark/>
          </w:tcPr>
          <w:p w14:paraId="71E7E1B2"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nil"/>
              <w:left w:val="nil"/>
              <w:bottom w:val="single" w:sz="8" w:space="0" w:color="auto"/>
              <w:right w:val="single" w:sz="8" w:space="0" w:color="auto"/>
            </w:tcBorders>
            <w:vAlign w:val="center"/>
            <w:hideMark/>
          </w:tcPr>
          <w:p w14:paraId="67CA4E24"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OHS Policy in place; inspections, communication, and education designed to communicate procedures and best practices.</w:t>
            </w:r>
          </w:p>
        </w:tc>
      </w:tr>
      <w:tr w:rsidR="008D287C" w:rsidRPr="008D287C" w14:paraId="42A434C5" w14:textId="77777777" w:rsidTr="008D287C">
        <w:trPr>
          <w:trHeight w:val="1200"/>
        </w:trPr>
        <w:tc>
          <w:tcPr>
            <w:tcW w:w="1776" w:type="dxa"/>
            <w:tcBorders>
              <w:top w:val="single" w:sz="8" w:space="0" w:color="auto"/>
              <w:left w:val="nil"/>
              <w:bottom w:val="nil"/>
              <w:right w:val="single" w:sz="8" w:space="0" w:color="auto"/>
            </w:tcBorders>
            <w:vAlign w:val="center"/>
            <w:hideMark/>
          </w:tcPr>
          <w:p w14:paraId="34CA6681"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Operations</w:t>
            </w:r>
          </w:p>
        </w:tc>
        <w:tc>
          <w:tcPr>
            <w:tcW w:w="2118" w:type="dxa"/>
            <w:tcBorders>
              <w:top w:val="nil"/>
              <w:left w:val="nil"/>
              <w:bottom w:val="single" w:sz="8" w:space="0" w:color="auto"/>
              <w:right w:val="single" w:sz="8" w:space="0" w:color="auto"/>
            </w:tcBorders>
            <w:vAlign w:val="center"/>
            <w:hideMark/>
          </w:tcPr>
          <w:p w14:paraId="53CB3BC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Accidental or intentional file or e-mail deletion</w:t>
            </w:r>
          </w:p>
        </w:tc>
        <w:tc>
          <w:tcPr>
            <w:tcW w:w="1596" w:type="dxa"/>
            <w:tcBorders>
              <w:top w:val="nil"/>
              <w:left w:val="nil"/>
              <w:bottom w:val="single" w:sz="8" w:space="0" w:color="auto"/>
              <w:right w:val="single" w:sz="8" w:space="0" w:color="auto"/>
            </w:tcBorders>
            <w:vAlign w:val="center"/>
            <w:hideMark/>
          </w:tcPr>
          <w:p w14:paraId="36C2189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4F37238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115A48B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4FA33139" w14:textId="0B4F0BA2"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Files and e-mail can be accessed up to 30 days after accidental deletion; files on backup server can be accessed for a period of one year; policy on e-mail retention and text disposal being </w:t>
            </w:r>
            <w:r w:rsidR="00272230">
              <w:rPr>
                <w:rFonts w:ascii="Calibri" w:eastAsia="Times New Roman" w:hAnsi="Calibri" w:cs="Calibri"/>
                <w:color w:val="000000"/>
                <w:sz w:val="20"/>
                <w:szCs w:val="20"/>
              </w:rPr>
              <w:t>consider</w:t>
            </w:r>
            <w:r w:rsidRPr="008D287C">
              <w:rPr>
                <w:rFonts w:ascii="Calibri" w:eastAsia="Times New Roman" w:hAnsi="Calibri" w:cs="Calibri"/>
                <w:color w:val="000000"/>
                <w:sz w:val="20"/>
                <w:szCs w:val="20"/>
              </w:rPr>
              <w:t>ed.</w:t>
            </w:r>
          </w:p>
        </w:tc>
      </w:tr>
      <w:tr w:rsidR="008D287C" w:rsidRPr="008D287C" w14:paraId="4A547D95" w14:textId="77777777" w:rsidTr="004B47D0">
        <w:trPr>
          <w:trHeight w:val="1284"/>
        </w:trPr>
        <w:tc>
          <w:tcPr>
            <w:tcW w:w="1776" w:type="dxa"/>
            <w:tcBorders>
              <w:top w:val="nil"/>
              <w:left w:val="nil"/>
              <w:bottom w:val="nil"/>
              <w:right w:val="nil"/>
            </w:tcBorders>
            <w:hideMark/>
          </w:tcPr>
          <w:p w14:paraId="308933F9"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4" w:space="0" w:color="auto"/>
              <w:right w:val="single" w:sz="8" w:space="0" w:color="auto"/>
            </w:tcBorders>
            <w:vAlign w:val="center"/>
            <w:hideMark/>
          </w:tcPr>
          <w:p w14:paraId="1A9B991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Admin passwords</w:t>
            </w:r>
          </w:p>
        </w:tc>
        <w:tc>
          <w:tcPr>
            <w:tcW w:w="1596" w:type="dxa"/>
            <w:tcBorders>
              <w:top w:val="nil"/>
              <w:left w:val="nil"/>
              <w:bottom w:val="single" w:sz="4" w:space="0" w:color="auto"/>
              <w:right w:val="single" w:sz="8" w:space="0" w:color="auto"/>
            </w:tcBorders>
            <w:vAlign w:val="center"/>
            <w:hideMark/>
          </w:tcPr>
          <w:p w14:paraId="5E4D0C0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4" w:space="0" w:color="auto"/>
              <w:right w:val="single" w:sz="8" w:space="0" w:color="auto"/>
            </w:tcBorders>
            <w:vAlign w:val="center"/>
            <w:hideMark/>
          </w:tcPr>
          <w:p w14:paraId="4CD442D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4" w:space="0" w:color="auto"/>
              <w:right w:val="single" w:sz="8" w:space="0" w:color="auto"/>
            </w:tcBorders>
            <w:shd w:val="clear" w:color="000000" w:fill="FFFF00"/>
            <w:vAlign w:val="center"/>
            <w:hideMark/>
          </w:tcPr>
          <w:p w14:paraId="0615E09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4" w:space="0" w:color="auto"/>
              <w:right w:val="single" w:sz="8" w:space="0" w:color="auto"/>
            </w:tcBorders>
            <w:vAlign w:val="center"/>
            <w:hideMark/>
          </w:tcPr>
          <w:p w14:paraId="1055E590"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Password document assembles most critical passwords; IT vendor can bypass IT system password walls, if necessary; web site is arranged through Municipal Website Venture, which has appropriate backups.</w:t>
            </w:r>
          </w:p>
        </w:tc>
      </w:tr>
      <w:tr w:rsidR="008D287C" w:rsidRPr="008D287C" w14:paraId="070FA70F" w14:textId="77777777" w:rsidTr="004B47D0">
        <w:trPr>
          <w:trHeight w:val="1644"/>
        </w:trPr>
        <w:tc>
          <w:tcPr>
            <w:tcW w:w="1776" w:type="dxa"/>
            <w:tcBorders>
              <w:top w:val="nil"/>
              <w:left w:val="nil"/>
              <w:bottom w:val="nil"/>
              <w:right w:val="nil"/>
            </w:tcBorders>
            <w:hideMark/>
          </w:tcPr>
          <w:p w14:paraId="2662A6C8"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single" w:sz="4" w:space="0" w:color="auto"/>
              <w:left w:val="single" w:sz="8" w:space="0" w:color="auto"/>
              <w:bottom w:val="single" w:sz="8" w:space="0" w:color="auto"/>
              <w:right w:val="single" w:sz="8" w:space="0" w:color="auto"/>
            </w:tcBorders>
            <w:vAlign w:val="center"/>
            <w:hideMark/>
          </w:tcPr>
          <w:p w14:paraId="31A4FE7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Breach of IT system/cyber attack</w:t>
            </w:r>
          </w:p>
        </w:tc>
        <w:tc>
          <w:tcPr>
            <w:tcW w:w="1596" w:type="dxa"/>
            <w:tcBorders>
              <w:top w:val="single" w:sz="4" w:space="0" w:color="auto"/>
              <w:left w:val="nil"/>
              <w:bottom w:val="single" w:sz="8" w:space="0" w:color="auto"/>
              <w:right w:val="single" w:sz="8" w:space="0" w:color="auto"/>
            </w:tcBorders>
            <w:vAlign w:val="center"/>
            <w:hideMark/>
          </w:tcPr>
          <w:p w14:paraId="21C3748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single" w:sz="4" w:space="0" w:color="auto"/>
              <w:left w:val="nil"/>
              <w:bottom w:val="single" w:sz="8" w:space="0" w:color="auto"/>
              <w:right w:val="single" w:sz="8" w:space="0" w:color="auto"/>
            </w:tcBorders>
            <w:vAlign w:val="center"/>
            <w:hideMark/>
          </w:tcPr>
          <w:p w14:paraId="625A093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single" w:sz="4" w:space="0" w:color="auto"/>
              <w:left w:val="nil"/>
              <w:bottom w:val="single" w:sz="8" w:space="0" w:color="auto"/>
              <w:right w:val="single" w:sz="8" w:space="0" w:color="auto"/>
            </w:tcBorders>
            <w:shd w:val="clear" w:color="000000" w:fill="FFFF00"/>
            <w:vAlign w:val="center"/>
            <w:hideMark/>
          </w:tcPr>
          <w:p w14:paraId="3320DA0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single" w:sz="4" w:space="0" w:color="auto"/>
              <w:left w:val="nil"/>
              <w:bottom w:val="single" w:sz="8" w:space="0" w:color="auto"/>
              <w:right w:val="single" w:sz="8" w:space="0" w:color="auto"/>
            </w:tcBorders>
            <w:vAlign w:val="center"/>
            <w:hideMark/>
          </w:tcPr>
          <w:p w14:paraId="0E58FDDC" w14:textId="63E10E32"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Strong need for staff to be aware and be diligent; multi-factor authentication of use is in place and data is backed up remotely; Office 365 provides additional security advantages;</w:t>
            </w:r>
            <w:r w:rsidR="001C39E0">
              <w:rPr>
                <w:rFonts w:ascii="Calibri" w:eastAsia="Times New Roman" w:hAnsi="Calibri" w:cs="Calibri"/>
                <w:color w:val="000000"/>
                <w:sz w:val="20"/>
                <w:szCs w:val="20"/>
              </w:rPr>
              <w:t xml:space="preserve"> reviewing installation of Proofpoint security feature;</w:t>
            </w:r>
            <w:r w:rsidRPr="008D287C">
              <w:rPr>
                <w:rFonts w:ascii="Calibri" w:eastAsia="Times New Roman" w:hAnsi="Calibri" w:cs="Calibri"/>
                <w:color w:val="000000"/>
                <w:sz w:val="20"/>
                <w:szCs w:val="20"/>
              </w:rPr>
              <w:t xml:space="preserve"> IT consultant in place to offer support. Cyber Security insurance coverage is in place with a liability limit of $2 million</w:t>
            </w:r>
            <w:r w:rsidR="001C39E0">
              <w:rPr>
                <w:rFonts w:ascii="Calibri" w:eastAsia="Times New Roman" w:hAnsi="Calibri" w:cs="Calibri"/>
                <w:color w:val="000000"/>
                <w:sz w:val="20"/>
                <w:szCs w:val="20"/>
              </w:rPr>
              <w:t>.</w:t>
            </w:r>
          </w:p>
        </w:tc>
      </w:tr>
      <w:tr w:rsidR="008D287C" w:rsidRPr="008D287C" w14:paraId="32136804" w14:textId="77777777" w:rsidTr="008D287C">
        <w:trPr>
          <w:trHeight w:val="1704"/>
        </w:trPr>
        <w:tc>
          <w:tcPr>
            <w:tcW w:w="1776" w:type="dxa"/>
            <w:tcBorders>
              <w:top w:val="nil"/>
              <w:left w:val="nil"/>
              <w:bottom w:val="nil"/>
              <w:right w:val="nil"/>
            </w:tcBorders>
            <w:hideMark/>
          </w:tcPr>
          <w:p w14:paraId="7E889E85"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5A365DB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Building issues (fire, flood)</w:t>
            </w:r>
          </w:p>
        </w:tc>
        <w:tc>
          <w:tcPr>
            <w:tcW w:w="1596" w:type="dxa"/>
            <w:tcBorders>
              <w:top w:val="nil"/>
              <w:left w:val="nil"/>
              <w:bottom w:val="single" w:sz="8" w:space="0" w:color="auto"/>
              <w:right w:val="single" w:sz="8" w:space="0" w:color="auto"/>
            </w:tcBorders>
            <w:vAlign w:val="center"/>
            <w:hideMark/>
          </w:tcPr>
          <w:p w14:paraId="72B6D43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Rare</w:t>
            </w:r>
          </w:p>
        </w:tc>
        <w:tc>
          <w:tcPr>
            <w:tcW w:w="1576" w:type="dxa"/>
            <w:tcBorders>
              <w:top w:val="nil"/>
              <w:left w:val="nil"/>
              <w:bottom w:val="single" w:sz="8" w:space="0" w:color="auto"/>
              <w:right w:val="single" w:sz="8" w:space="0" w:color="auto"/>
            </w:tcBorders>
            <w:vAlign w:val="center"/>
            <w:hideMark/>
          </w:tcPr>
          <w:p w14:paraId="6AF8BA9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70AD47"/>
            <w:vAlign w:val="center"/>
            <w:hideMark/>
          </w:tcPr>
          <w:p w14:paraId="631B271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nil"/>
              <w:left w:val="nil"/>
              <w:bottom w:val="single" w:sz="8" w:space="0" w:color="auto"/>
              <w:right w:val="single" w:sz="8" w:space="0" w:color="auto"/>
            </w:tcBorders>
            <w:vAlign w:val="center"/>
            <w:hideMark/>
          </w:tcPr>
          <w:p w14:paraId="23B6ACE4"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$5 million General Liability coverage including $5 million Tenants Legal Liability coverage in place, property owner does regular inspections; computers are portable and are generally off site when staff member is not at work; regular training on evacuation procedures.</w:t>
            </w:r>
          </w:p>
        </w:tc>
      </w:tr>
      <w:tr w:rsidR="008D287C" w:rsidRPr="008D287C" w14:paraId="3B9944BC" w14:textId="77777777" w:rsidTr="008D287C">
        <w:trPr>
          <w:trHeight w:val="1512"/>
        </w:trPr>
        <w:tc>
          <w:tcPr>
            <w:tcW w:w="1776" w:type="dxa"/>
            <w:tcBorders>
              <w:top w:val="nil"/>
              <w:left w:val="nil"/>
              <w:bottom w:val="nil"/>
              <w:right w:val="nil"/>
            </w:tcBorders>
            <w:hideMark/>
          </w:tcPr>
          <w:p w14:paraId="2D8A3C58"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2B39BC1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Disengaged staff/staff turnover/dismissal</w:t>
            </w:r>
          </w:p>
        </w:tc>
        <w:tc>
          <w:tcPr>
            <w:tcW w:w="1596" w:type="dxa"/>
            <w:tcBorders>
              <w:top w:val="nil"/>
              <w:left w:val="nil"/>
              <w:bottom w:val="single" w:sz="8" w:space="0" w:color="auto"/>
              <w:right w:val="single" w:sz="8" w:space="0" w:color="auto"/>
            </w:tcBorders>
            <w:vAlign w:val="center"/>
            <w:hideMark/>
          </w:tcPr>
          <w:p w14:paraId="60F2443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49305EE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5FB5AB1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57719621" w14:textId="05EC22E4"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Ongoing review of HR policies and best practices; management is focused on staff development, communication, and a better management/staff ratio; professional development opportunities available for staff development.</w:t>
            </w:r>
          </w:p>
        </w:tc>
      </w:tr>
      <w:tr w:rsidR="001664B0" w:rsidRPr="008D287C" w14:paraId="0FB8B9E7" w14:textId="77777777" w:rsidTr="008D287C">
        <w:trPr>
          <w:trHeight w:val="1512"/>
        </w:trPr>
        <w:tc>
          <w:tcPr>
            <w:tcW w:w="1776" w:type="dxa"/>
            <w:tcBorders>
              <w:top w:val="nil"/>
              <w:left w:val="nil"/>
              <w:bottom w:val="nil"/>
              <w:right w:val="nil"/>
            </w:tcBorders>
          </w:tcPr>
          <w:p w14:paraId="4A2D5C68" w14:textId="77777777" w:rsidR="001664B0" w:rsidRPr="008D287C" w:rsidRDefault="001664B0"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tcPr>
          <w:p w14:paraId="493ED986" w14:textId="5DBD79BC" w:rsidR="001664B0" w:rsidRPr="008D287C" w:rsidRDefault="001664B0"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FOIPOP Requests</w:t>
            </w:r>
          </w:p>
        </w:tc>
        <w:tc>
          <w:tcPr>
            <w:tcW w:w="1596" w:type="dxa"/>
            <w:tcBorders>
              <w:top w:val="nil"/>
              <w:left w:val="nil"/>
              <w:bottom w:val="single" w:sz="8" w:space="0" w:color="auto"/>
              <w:right w:val="single" w:sz="8" w:space="0" w:color="auto"/>
            </w:tcBorders>
            <w:vAlign w:val="center"/>
          </w:tcPr>
          <w:p w14:paraId="0B2BB80F" w14:textId="3CFE75F6" w:rsidR="001664B0" w:rsidRPr="008D287C" w:rsidRDefault="00907A9E"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tcPr>
          <w:p w14:paraId="2740CAC7" w14:textId="46908837" w:rsidR="001664B0" w:rsidRPr="008D287C" w:rsidRDefault="00907A9E"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tcPr>
          <w:p w14:paraId="7BAFF806" w14:textId="2BD45673" w:rsidR="001664B0" w:rsidRPr="008D287C" w:rsidRDefault="00907A9E"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tcPr>
          <w:p w14:paraId="28CB062D" w14:textId="7FA4AE07" w:rsidR="001664B0" w:rsidRPr="008D287C" w:rsidRDefault="00907A9E" w:rsidP="008D287C">
            <w:pPr>
              <w:spacing w:after="0" w:line="240" w:lineRule="auto"/>
              <w:jc w:val="both"/>
              <w:rPr>
                <w:rFonts w:ascii="Calibri" w:eastAsia="Times New Roman" w:hAnsi="Calibri" w:cs="Calibri"/>
                <w:color w:val="000000"/>
                <w:sz w:val="20"/>
                <w:szCs w:val="20"/>
              </w:rPr>
            </w:pPr>
            <w:r w:rsidRPr="00907A9E">
              <w:rPr>
                <w:rFonts w:ascii="Calibri" w:eastAsia="Times New Roman" w:hAnsi="Calibri" w:cs="Calibri"/>
                <w:color w:val="000000"/>
                <w:sz w:val="20"/>
                <w:szCs w:val="20"/>
              </w:rPr>
              <w:t>NSFM will engage staff in FOIPOP training; NSFM would argue that it is not a public service body to avoid requests; review of Act of Incorporation</w:t>
            </w:r>
          </w:p>
        </w:tc>
      </w:tr>
      <w:tr w:rsidR="008D287C" w:rsidRPr="008D287C" w14:paraId="6DA5E746" w14:textId="77777777" w:rsidTr="008D287C">
        <w:trPr>
          <w:trHeight w:val="1512"/>
        </w:trPr>
        <w:tc>
          <w:tcPr>
            <w:tcW w:w="1776" w:type="dxa"/>
            <w:tcBorders>
              <w:top w:val="nil"/>
              <w:left w:val="nil"/>
              <w:bottom w:val="nil"/>
              <w:right w:val="nil"/>
            </w:tcBorders>
            <w:hideMark/>
          </w:tcPr>
          <w:p w14:paraId="01EEA47C"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3B28E7C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Insurance claim</w:t>
            </w:r>
          </w:p>
        </w:tc>
        <w:tc>
          <w:tcPr>
            <w:tcW w:w="1596" w:type="dxa"/>
            <w:tcBorders>
              <w:top w:val="nil"/>
              <w:left w:val="nil"/>
              <w:bottom w:val="single" w:sz="8" w:space="0" w:color="auto"/>
              <w:right w:val="single" w:sz="8" w:space="0" w:color="auto"/>
            </w:tcBorders>
            <w:vAlign w:val="center"/>
            <w:hideMark/>
          </w:tcPr>
          <w:p w14:paraId="2B4FFEF5"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Unlikely</w:t>
            </w:r>
          </w:p>
        </w:tc>
        <w:tc>
          <w:tcPr>
            <w:tcW w:w="1576" w:type="dxa"/>
            <w:tcBorders>
              <w:top w:val="nil"/>
              <w:left w:val="nil"/>
              <w:bottom w:val="single" w:sz="8" w:space="0" w:color="auto"/>
              <w:right w:val="single" w:sz="8" w:space="0" w:color="auto"/>
            </w:tcBorders>
            <w:vAlign w:val="center"/>
            <w:hideMark/>
          </w:tcPr>
          <w:p w14:paraId="36F4C2B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70AD47"/>
            <w:vAlign w:val="center"/>
            <w:hideMark/>
          </w:tcPr>
          <w:p w14:paraId="66DDB0E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nil"/>
              <w:left w:val="nil"/>
              <w:bottom w:val="single" w:sz="8" w:space="0" w:color="auto"/>
              <w:right w:val="single" w:sz="8" w:space="0" w:color="auto"/>
            </w:tcBorders>
            <w:vAlign w:val="center"/>
            <w:hideMark/>
          </w:tcPr>
          <w:p w14:paraId="61D96FE1"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Each year, an analysis of coverage is conducted to see if the level of coverage for General Liability, Non-Owned Automobile Liability, Errors &amp; Omission Liability, Directors &amp; Officers Liability, and other liability limits are adequate; organizational Risk Analysis conducted.</w:t>
            </w:r>
          </w:p>
        </w:tc>
      </w:tr>
      <w:tr w:rsidR="008D287C" w:rsidRPr="008D287C" w14:paraId="27167098" w14:textId="77777777" w:rsidTr="004B47D0">
        <w:trPr>
          <w:trHeight w:val="912"/>
        </w:trPr>
        <w:tc>
          <w:tcPr>
            <w:tcW w:w="1776" w:type="dxa"/>
            <w:tcBorders>
              <w:top w:val="nil"/>
              <w:left w:val="nil"/>
              <w:bottom w:val="nil"/>
              <w:right w:val="nil"/>
            </w:tcBorders>
            <w:hideMark/>
          </w:tcPr>
          <w:p w14:paraId="10A64EC9"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4" w:space="0" w:color="auto"/>
              <w:right w:val="single" w:sz="8" w:space="0" w:color="auto"/>
            </w:tcBorders>
            <w:vAlign w:val="center"/>
            <w:hideMark/>
          </w:tcPr>
          <w:p w14:paraId="57292D4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IT vendor diversification</w:t>
            </w:r>
          </w:p>
        </w:tc>
        <w:tc>
          <w:tcPr>
            <w:tcW w:w="1596" w:type="dxa"/>
            <w:tcBorders>
              <w:top w:val="nil"/>
              <w:left w:val="nil"/>
              <w:bottom w:val="single" w:sz="4" w:space="0" w:color="auto"/>
              <w:right w:val="single" w:sz="8" w:space="0" w:color="auto"/>
            </w:tcBorders>
            <w:vAlign w:val="center"/>
            <w:hideMark/>
          </w:tcPr>
          <w:p w14:paraId="61BB598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4" w:space="0" w:color="auto"/>
              <w:right w:val="single" w:sz="8" w:space="0" w:color="auto"/>
            </w:tcBorders>
            <w:vAlign w:val="center"/>
            <w:hideMark/>
          </w:tcPr>
          <w:p w14:paraId="6B66949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4" w:space="0" w:color="auto"/>
              <w:right w:val="single" w:sz="8" w:space="0" w:color="auto"/>
            </w:tcBorders>
            <w:shd w:val="clear" w:color="000000" w:fill="FFFF00"/>
            <w:vAlign w:val="center"/>
            <w:hideMark/>
          </w:tcPr>
          <w:p w14:paraId="595F4B0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4" w:space="0" w:color="auto"/>
              <w:right w:val="single" w:sz="8" w:space="0" w:color="auto"/>
            </w:tcBorders>
            <w:vAlign w:val="center"/>
            <w:hideMark/>
          </w:tcPr>
          <w:p w14:paraId="37CF4EFF" w14:textId="37F71E23"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Server security document is in </w:t>
            </w:r>
            <w:r w:rsidR="007B116A" w:rsidRPr="008D287C">
              <w:rPr>
                <w:rFonts w:ascii="Calibri" w:eastAsia="Times New Roman" w:hAnsi="Calibri" w:cs="Calibri"/>
                <w:color w:val="000000"/>
                <w:sz w:val="20"/>
                <w:szCs w:val="20"/>
              </w:rPr>
              <w:t>place,</w:t>
            </w:r>
            <w:r w:rsidRPr="008D287C">
              <w:rPr>
                <w:rFonts w:ascii="Calibri" w:eastAsia="Times New Roman" w:hAnsi="Calibri" w:cs="Calibri"/>
                <w:color w:val="000000"/>
                <w:sz w:val="20"/>
                <w:szCs w:val="20"/>
              </w:rPr>
              <w:t xml:space="preserve"> and the IT vendor has a designated backup contact to reach in case of emergency or incapacitation.</w:t>
            </w:r>
          </w:p>
        </w:tc>
      </w:tr>
      <w:tr w:rsidR="008D287C" w:rsidRPr="008D287C" w14:paraId="54AA6C08" w14:textId="77777777" w:rsidTr="004B47D0">
        <w:trPr>
          <w:trHeight w:val="852"/>
        </w:trPr>
        <w:tc>
          <w:tcPr>
            <w:tcW w:w="1776" w:type="dxa"/>
            <w:tcBorders>
              <w:top w:val="nil"/>
              <w:left w:val="nil"/>
              <w:bottom w:val="nil"/>
              <w:right w:val="nil"/>
            </w:tcBorders>
            <w:hideMark/>
          </w:tcPr>
          <w:p w14:paraId="22EA3689"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single" w:sz="4" w:space="0" w:color="auto"/>
              <w:left w:val="single" w:sz="8" w:space="0" w:color="auto"/>
              <w:bottom w:val="single" w:sz="8" w:space="0" w:color="auto"/>
              <w:right w:val="single" w:sz="8" w:space="0" w:color="auto"/>
            </w:tcBorders>
            <w:vAlign w:val="center"/>
            <w:hideMark/>
          </w:tcPr>
          <w:p w14:paraId="0E3AEBE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Loss of a laptop or device</w:t>
            </w:r>
          </w:p>
        </w:tc>
        <w:tc>
          <w:tcPr>
            <w:tcW w:w="1596" w:type="dxa"/>
            <w:tcBorders>
              <w:top w:val="single" w:sz="4" w:space="0" w:color="auto"/>
              <w:left w:val="nil"/>
              <w:bottom w:val="single" w:sz="8" w:space="0" w:color="auto"/>
              <w:right w:val="single" w:sz="8" w:space="0" w:color="auto"/>
            </w:tcBorders>
            <w:vAlign w:val="center"/>
            <w:hideMark/>
          </w:tcPr>
          <w:p w14:paraId="0578D75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single" w:sz="4" w:space="0" w:color="auto"/>
              <w:left w:val="nil"/>
              <w:bottom w:val="single" w:sz="8" w:space="0" w:color="auto"/>
              <w:right w:val="single" w:sz="8" w:space="0" w:color="auto"/>
            </w:tcBorders>
            <w:vAlign w:val="center"/>
            <w:hideMark/>
          </w:tcPr>
          <w:p w14:paraId="07EAA11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single" w:sz="4" w:space="0" w:color="auto"/>
              <w:left w:val="nil"/>
              <w:bottom w:val="single" w:sz="8" w:space="0" w:color="auto"/>
              <w:right w:val="single" w:sz="8" w:space="0" w:color="auto"/>
            </w:tcBorders>
            <w:shd w:val="clear" w:color="000000" w:fill="FFFF00"/>
            <w:vAlign w:val="center"/>
            <w:hideMark/>
          </w:tcPr>
          <w:p w14:paraId="4F33B452"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single" w:sz="4" w:space="0" w:color="auto"/>
              <w:left w:val="nil"/>
              <w:bottom w:val="single" w:sz="8" w:space="0" w:color="auto"/>
              <w:right w:val="single" w:sz="8" w:space="0" w:color="auto"/>
            </w:tcBorders>
            <w:vAlign w:val="center"/>
            <w:hideMark/>
          </w:tcPr>
          <w:p w14:paraId="0D997F04"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IT consultant can access device remotely, change passwords remotely, and remove the connection to the cloud and email (remote wipe capabilities).</w:t>
            </w:r>
          </w:p>
        </w:tc>
      </w:tr>
      <w:tr w:rsidR="008D287C" w:rsidRPr="008D287C" w14:paraId="3A46ADEE" w14:textId="77777777" w:rsidTr="008D287C">
        <w:trPr>
          <w:trHeight w:val="780"/>
        </w:trPr>
        <w:tc>
          <w:tcPr>
            <w:tcW w:w="1776" w:type="dxa"/>
            <w:tcBorders>
              <w:top w:val="nil"/>
              <w:left w:val="nil"/>
              <w:bottom w:val="nil"/>
              <w:right w:val="nil"/>
            </w:tcBorders>
            <w:hideMark/>
          </w:tcPr>
          <w:p w14:paraId="28FF55DC"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668DA26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Loss/recall of laptop password</w:t>
            </w:r>
          </w:p>
        </w:tc>
        <w:tc>
          <w:tcPr>
            <w:tcW w:w="1596" w:type="dxa"/>
            <w:tcBorders>
              <w:top w:val="nil"/>
              <w:left w:val="nil"/>
              <w:bottom w:val="single" w:sz="8" w:space="0" w:color="auto"/>
              <w:right w:val="single" w:sz="8" w:space="0" w:color="auto"/>
            </w:tcBorders>
            <w:vAlign w:val="center"/>
            <w:hideMark/>
          </w:tcPr>
          <w:p w14:paraId="629D10B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3E96B2D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3656C535"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39D84E75"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IT consultant can reset the password remotely.</w:t>
            </w:r>
          </w:p>
        </w:tc>
      </w:tr>
      <w:tr w:rsidR="008D287C" w:rsidRPr="008D287C" w14:paraId="771D904F" w14:textId="77777777" w:rsidTr="008D287C">
        <w:trPr>
          <w:trHeight w:val="1320"/>
        </w:trPr>
        <w:tc>
          <w:tcPr>
            <w:tcW w:w="1776" w:type="dxa"/>
            <w:tcBorders>
              <w:top w:val="nil"/>
              <w:left w:val="nil"/>
              <w:bottom w:val="nil"/>
              <w:right w:val="nil"/>
            </w:tcBorders>
            <w:hideMark/>
          </w:tcPr>
          <w:p w14:paraId="448B4B9E"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2EE0C32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Office closure due to pandemic</w:t>
            </w:r>
          </w:p>
        </w:tc>
        <w:tc>
          <w:tcPr>
            <w:tcW w:w="1596" w:type="dxa"/>
            <w:tcBorders>
              <w:top w:val="nil"/>
              <w:left w:val="nil"/>
              <w:bottom w:val="single" w:sz="8" w:space="0" w:color="auto"/>
              <w:right w:val="single" w:sz="8" w:space="0" w:color="auto"/>
            </w:tcBorders>
            <w:vAlign w:val="center"/>
            <w:hideMark/>
          </w:tcPr>
          <w:p w14:paraId="7FAC092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Unlikely</w:t>
            </w:r>
          </w:p>
        </w:tc>
        <w:tc>
          <w:tcPr>
            <w:tcW w:w="1576" w:type="dxa"/>
            <w:tcBorders>
              <w:top w:val="nil"/>
              <w:left w:val="nil"/>
              <w:bottom w:val="single" w:sz="8" w:space="0" w:color="auto"/>
              <w:right w:val="single" w:sz="8" w:space="0" w:color="auto"/>
            </w:tcBorders>
            <w:vAlign w:val="center"/>
            <w:hideMark/>
          </w:tcPr>
          <w:p w14:paraId="05E7464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Minor</w:t>
            </w:r>
          </w:p>
        </w:tc>
        <w:tc>
          <w:tcPr>
            <w:tcW w:w="1776" w:type="dxa"/>
            <w:tcBorders>
              <w:top w:val="nil"/>
              <w:left w:val="nil"/>
              <w:bottom w:val="single" w:sz="8" w:space="0" w:color="auto"/>
              <w:right w:val="single" w:sz="8" w:space="0" w:color="auto"/>
            </w:tcBorders>
            <w:shd w:val="clear" w:color="000000" w:fill="70AD47"/>
            <w:vAlign w:val="center"/>
            <w:hideMark/>
          </w:tcPr>
          <w:p w14:paraId="147EEA7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Low</w:t>
            </w:r>
          </w:p>
        </w:tc>
        <w:tc>
          <w:tcPr>
            <w:tcW w:w="6156" w:type="dxa"/>
            <w:tcBorders>
              <w:top w:val="nil"/>
              <w:left w:val="nil"/>
              <w:bottom w:val="single" w:sz="8" w:space="0" w:color="auto"/>
              <w:right w:val="single" w:sz="8" w:space="0" w:color="auto"/>
            </w:tcBorders>
            <w:vAlign w:val="center"/>
            <w:hideMark/>
          </w:tcPr>
          <w:p w14:paraId="63F6335E"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Organization can easily pivot to work from home or implement a staggered work week in the office if necessary; accommodations would need to be made for employee adjustment and personal wellbeing.</w:t>
            </w:r>
          </w:p>
        </w:tc>
      </w:tr>
      <w:tr w:rsidR="008D287C" w:rsidRPr="008D287C" w14:paraId="4A245D9D" w14:textId="77777777" w:rsidTr="008D287C">
        <w:trPr>
          <w:trHeight w:val="1056"/>
        </w:trPr>
        <w:tc>
          <w:tcPr>
            <w:tcW w:w="1776" w:type="dxa"/>
            <w:tcBorders>
              <w:top w:val="nil"/>
              <w:left w:val="nil"/>
              <w:bottom w:val="nil"/>
              <w:right w:val="nil"/>
            </w:tcBorders>
            <w:hideMark/>
          </w:tcPr>
          <w:p w14:paraId="44362DDF"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6D8A918F" w14:textId="6AD8E076"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Position Manuals</w:t>
            </w:r>
            <w:r w:rsidR="0034336F">
              <w:rPr>
                <w:rFonts w:ascii="Calibri" w:eastAsia="Times New Roman" w:hAnsi="Calibri" w:cs="Calibri"/>
                <w:color w:val="000000"/>
                <w:sz w:val="20"/>
                <w:szCs w:val="20"/>
              </w:rPr>
              <w:t xml:space="preserve">/Policy Files </w:t>
            </w:r>
            <w:r w:rsidRPr="008D287C">
              <w:rPr>
                <w:rFonts w:ascii="Calibri" w:eastAsia="Times New Roman" w:hAnsi="Calibri" w:cs="Calibri"/>
                <w:color w:val="000000"/>
                <w:sz w:val="20"/>
                <w:szCs w:val="20"/>
              </w:rPr>
              <w:t>not current or up to date</w:t>
            </w:r>
          </w:p>
        </w:tc>
        <w:tc>
          <w:tcPr>
            <w:tcW w:w="1596" w:type="dxa"/>
            <w:tcBorders>
              <w:top w:val="nil"/>
              <w:left w:val="nil"/>
              <w:bottom w:val="single" w:sz="8" w:space="0" w:color="auto"/>
              <w:right w:val="single" w:sz="8" w:space="0" w:color="auto"/>
            </w:tcBorders>
            <w:vAlign w:val="center"/>
            <w:hideMark/>
          </w:tcPr>
          <w:p w14:paraId="77FF1B1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10BE991F"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7B04FF6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09C79ED1" w14:textId="7D07CF50"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Position/role manuals on development stage for Admin Assistant, Communications Advisor, </w:t>
            </w:r>
            <w:r w:rsidR="0086503D">
              <w:rPr>
                <w:rFonts w:ascii="Calibri" w:eastAsia="Times New Roman" w:hAnsi="Calibri" w:cs="Calibri"/>
                <w:color w:val="000000"/>
                <w:sz w:val="20"/>
                <w:szCs w:val="20"/>
              </w:rPr>
              <w:t xml:space="preserve">Events, </w:t>
            </w:r>
            <w:r w:rsidRPr="008D287C">
              <w:rPr>
                <w:rFonts w:ascii="Calibri" w:eastAsia="Times New Roman" w:hAnsi="Calibri" w:cs="Calibri"/>
                <w:color w:val="000000"/>
                <w:sz w:val="20"/>
                <w:szCs w:val="20"/>
              </w:rPr>
              <w:t>and Finance Administrator</w:t>
            </w:r>
            <w:r w:rsidR="00EA2003">
              <w:rPr>
                <w:rFonts w:ascii="Calibri" w:eastAsia="Times New Roman" w:hAnsi="Calibri" w:cs="Calibri"/>
                <w:color w:val="000000"/>
                <w:sz w:val="20"/>
                <w:szCs w:val="20"/>
              </w:rPr>
              <w:t>; policy files have updated associated tracking documents</w:t>
            </w:r>
            <w:r w:rsidR="00561A20">
              <w:rPr>
                <w:rFonts w:ascii="Calibri" w:eastAsia="Times New Roman" w:hAnsi="Calibri" w:cs="Calibri"/>
                <w:color w:val="000000"/>
                <w:sz w:val="20"/>
                <w:szCs w:val="20"/>
              </w:rPr>
              <w:t>.</w:t>
            </w:r>
          </w:p>
        </w:tc>
      </w:tr>
      <w:tr w:rsidR="008D287C" w:rsidRPr="008D287C" w14:paraId="71EE535F" w14:textId="77777777" w:rsidTr="008D287C">
        <w:trPr>
          <w:trHeight w:val="1860"/>
        </w:trPr>
        <w:tc>
          <w:tcPr>
            <w:tcW w:w="1776" w:type="dxa"/>
            <w:tcBorders>
              <w:top w:val="nil"/>
              <w:left w:val="nil"/>
              <w:bottom w:val="nil"/>
              <w:right w:val="nil"/>
            </w:tcBorders>
            <w:hideMark/>
          </w:tcPr>
          <w:p w14:paraId="702837E2"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51F4CFDD"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Vandalism/theft</w:t>
            </w:r>
          </w:p>
        </w:tc>
        <w:tc>
          <w:tcPr>
            <w:tcW w:w="1596" w:type="dxa"/>
            <w:tcBorders>
              <w:top w:val="nil"/>
              <w:left w:val="nil"/>
              <w:bottom w:val="single" w:sz="8" w:space="0" w:color="auto"/>
              <w:right w:val="single" w:sz="8" w:space="0" w:color="auto"/>
            </w:tcBorders>
            <w:vAlign w:val="center"/>
            <w:hideMark/>
          </w:tcPr>
          <w:p w14:paraId="37D7276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540E82C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Moderate</w:t>
            </w:r>
          </w:p>
        </w:tc>
        <w:tc>
          <w:tcPr>
            <w:tcW w:w="1776" w:type="dxa"/>
            <w:tcBorders>
              <w:top w:val="nil"/>
              <w:left w:val="nil"/>
              <w:bottom w:val="single" w:sz="8" w:space="0" w:color="auto"/>
              <w:right w:val="single" w:sz="8" w:space="0" w:color="auto"/>
            </w:tcBorders>
            <w:shd w:val="clear" w:color="000000" w:fill="FFFF00"/>
            <w:vAlign w:val="center"/>
            <w:hideMark/>
          </w:tcPr>
          <w:p w14:paraId="4BBB5A77"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6D8A6916"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$5 million General Liability coverage including $5 million Tenants Legal Liability coverage in place; Security measures in place for office; property owner has excellent on premises security coverage, including presence of cameras (lobby and floor, not in offices); door is left closed and locked during regular operations.</w:t>
            </w:r>
          </w:p>
        </w:tc>
      </w:tr>
      <w:tr w:rsidR="008D287C" w:rsidRPr="008D287C" w14:paraId="738A102C" w14:textId="77777777" w:rsidTr="008D287C">
        <w:trPr>
          <w:trHeight w:val="1620"/>
        </w:trPr>
        <w:tc>
          <w:tcPr>
            <w:tcW w:w="1776" w:type="dxa"/>
            <w:tcBorders>
              <w:top w:val="single" w:sz="8" w:space="0" w:color="auto"/>
              <w:left w:val="nil"/>
              <w:bottom w:val="nil"/>
              <w:right w:val="single" w:sz="8" w:space="0" w:color="auto"/>
            </w:tcBorders>
            <w:vAlign w:val="center"/>
            <w:hideMark/>
          </w:tcPr>
          <w:p w14:paraId="5F015062"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t>Programs &amp; Services</w:t>
            </w:r>
          </w:p>
        </w:tc>
        <w:tc>
          <w:tcPr>
            <w:tcW w:w="2118" w:type="dxa"/>
            <w:tcBorders>
              <w:top w:val="nil"/>
              <w:left w:val="nil"/>
              <w:bottom w:val="single" w:sz="8" w:space="0" w:color="auto"/>
              <w:right w:val="single" w:sz="8" w:space="0" w:color="auto"/>
            </w:tcBorders>
            <w:vAlign w:val="center"/>
            <w:hideMark/>
          </w:tcPr>
          <w:p w14:paraId="5075969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Loss of participation in Group Insurance Program</w:t>
            </w:r>
          </w:p>
        </w:tc>
        <w:tc>
          <w:tcPr>
            <w:tcW w:w="1596" w:type="dxa"/>
            <w:tcBorders>
              <w:top w:val="nil"/>
              <w:left w:val="nil"/>
              <w:bottom w:val="single" w:sz="8" w:space="0" w:color="auto"/>
              <w:right w:val="single" w:sz="8" w:space="0" w:color="auto"/>
            </w:tcBorders>
            <w:vAlign w:val="center"/>
            <w:hideMark/>
          </w:tcPr>
          <w:p w14:paraId="4A1F1AA3"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264DBBC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0F289B1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23D312EF"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Oversight Committee in place; program review ongoing; staff member dedicated as a resource to the program; regular engagement with service providers and program participants, including surveying the participants on their level of satisfaction; annual reporting at the Annual General Meeting.</w:t>
            </w:r>
          </w:p>
        </w:tc>
      </w:tr>
      <w:tr w:rsidR="008D287C" w:rsidRPr="008D287C" w14:paraId="0DB3E31D" w14:textId="77777777" w:rsidTr="004B47D0">
        <w:trPr>
          <w:trHeight w:val="1800"/>
        </w:trPr>
        <w:tc>
          <w:tcPr>
            <w:tcW w:w="1776" w:type="dxa"/>
            <w:tcBorders>
              <w:top w:val="nil"/>
              <w:left w:val="nil"/>
              <w:bottom w:val="nil"/>
              <w:right w:val="nil"/>
            </w:tcBorders>
            <w:hideMark/>
          </w:tcPr>
          <w:p w14:paraId="129B4E6A"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4" w:space="0" w:color="auto"/>
              <w:right w:val="single" w:sz="8" w:space="0" w:color="auto"/>
            </w:tcBorders>
            <w:vAlign w:val="center"/>
            <w:hideMark/>
          </w:tcPr>
          <w:p w14:paraId="6B1BF7A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Loss of participation in Health &amp; Benefits Program</w:t>
            </w:r>
          </w:p>
        </w:tc>
        <w:tc>
          <w:tcPr>
            <w:tcW w:w="1596" w:type="dxa"/>
            <w:tcBorders>
              <w:top w:val="nil"/>
              <w:left w:val="nil"/>
              <w:bottom w:val="single" w:sz="4" w:space="0" w:color="auto"/>
              <w:right w:val="single" w:sz="8" w:space="0" w:color="auto"/>
            </w:tcBorders>
            <w:vAlign w:val="center"/>
            <w:hideMark/>
          </w:tcPr>
          <w:p w14:paraId="2AF9600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4" w:space="0" w:color="auto"/>
              <w:right w:val="single" w:sz="8" w:space="0" w:color="auto"/>
            </w:tcBorders>
            <w:vAlign w:val="center"/>
            <w:hideMark/>
          </w:tcPr>
          <w:p w14:paraId="3BE668D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4" w:space="0" w:color="auto"/>
              <w:right w:val="single" w:sz="8" w:space="0" w:color="auto"/>
            </w:tcBorders>
            <w:shd w:val="clear" w:color="000000" w:fill="FFFF00"/>
            <w:vAlign w:val="center"/>
            <w:hideMark/>
          </w:tcPr>
          <w:p w14:paraId="115056E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4" w:space="0" w:color="auto"/>
              <w:right w:val="single" w:sz="8" w:space="0" w:color="auto"/>
            </w:tcBorders>
            <w:vAlign w:val="center"/>
            <w:hideMark/>
          </w:tcPr>
          <w:p w14:paraId="52226CC7"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Oversight Committee in place; program review ongoing; staff member dedicated as a resource to the program; regular engagement with service providers and program participants, including a “Road Show” format to engage participants; annual reporting to the Audit Committee and at the Annual General Meeting.</w:t>
            </w:r>
          </w:p>
        </w:tc>
      </w:tr>
      <w:tr w:rsidR="008D287C" w:rsidRPr="008D287C" w14:paraId="5C3A7458" w14:textId="77777777" w:rsidTr="004B47D0">
        <w:trPr>
          <w:trHeight w:val="1560"/>
        </w:trPr>
        <w:tc>
          <w:tcPr>
            <w:tcW w:w="1776" w:type="dxa"/>
            <w:tcBorders>
              <w:top w:val="single" w:sz="8" w:space="0" w:color="auto"/>
              <w:left w:val="nil"/>
              <w:bottom w:val="nil"/>
              <w:right w:val="single" w:sz="8" w:space="0" w:color="auto"/>
            </w:tcBorders>
            <w:vAlign w:val="center"/>
            <w:hideMark/>
          </w:tcPr>
          <w:p w14:paraId="491C9AB0" w14:textId="77777777" w:rsidR="008D287C" w:rsidRPr="008D287C" w:rsidRDefault="008D287C" w:rsidP="008D287C">
            <w:pPr>
              <w:spacing w:after="0" w:line="240" w:lineRule="auto"/>
              <w:rPr>
                <w:rFonts w:ascii="Calibri" w:eastAsia="Times New Roman" w:hAnsi="Calibri" w:cs="Calibri"/>
                <w:b/>
                <w:bCs/>
                <w:color w:val="000000"/>
                <w:sz w:val="24"/>
                <w:szCs w:val="24"/>
              </w:rPr>
            </w:pPr>
            <w:r w:rsidRPr="008D287C">
              <w:rPr>
                <w:rFonts w:ascii="Calibri" w:eastAsia="Times New Roman" w:hAnsi="Calibri" w:cs="Calibri"/>
                <w:b/>
                <w:bCs/>
                <w:color w:val="000000"/>
                <w:sz w:val="24"/>
                <w:szCs w:val="24"/>
              </w:rPr>
              <w:lastRenderedPageBreak/>
              <w:t>Reputation</w:t>
            </w:r>
          </w:p>
        </w:tc>
        <w:tc>
          <w:tcPr>
            <w:tcW w:w="2118" w:type="dxa"/>
            <w:tcBorders>
              <w:top w:val="single" w:sz="4" w:space="0" w:color="auto"/>
              <w:left w:val="nil"/>
              <w:bottom w:val="single" w:sz="8" w:space="0" w:color="auto"/>
              <w:right w:val="single" w:sz="8" w:space="0" w:color="auto"/>
            </w:tcBorders>
            <w:vAlign w:val="center"/>
            <w:hideMark/>
          </w:tcPr>
          <w:p w14:paraId="696732E4" w14:textId="77777777" w:rsidR="008D287C" w:rsidRPr="008D1E81" w:rsidRDefault="008D287C" w:rsidP="008D287C">
            <w:pPr>
              <w:spacing w:after="0" w:line="240" w:lineRule="auto"/>
              <w:rPr>
                <w:rFonts w:ascii="Calibri" w:eastAsia="Times New Roman" w:hAnsi="Calibri" w:cs="Calibri"/>
                <w:color w:val="000000"/>
                <w:sz w:val="20"/>
                <w:szCs w:val="20"/>
              </w:rPr>
            </w:pPr>
            <w:r w:rsidRPr="008D1E81">
              <w:rPr>
                <w:rFonts w:ascii="Calibri" w:eastAsia="Times New Roman" w:hAnsi="Calibri" w:cs="Calibri"/>
                <w:color w:val="000000"/>
                <w:sz w:val="20"/>
                <w:szCs w:val="20"/>
              </w:rPr>
              <w:t>Deterioration of relationship with AMANS</w:t>
            </w:r>
          </w:p>
        </w:tc>
        <w:tc>
          <w:tcPr>
            <w:tcW w:w="1596" w:type="dxa"/>
            <w:tcBorders>
              <w:top w:val="single" w:sz="4" w:space="0" w:color="auto"/>
              <w:left w:val="nil"/>
              <w:bottom w:val="single" w:sz="8" w:space="0" w:color="auto"/>
              <w:right w:val="single" w:sz="8" w:space="0" w:color="auto"/>
            </w:tcBorders>
            <w:vAlign w:val="center"/>
            <w:hideMark/>
          </w:tcPr>
          <w:p w14:paraId="371856AE" w14:textId="337998D2" w:rsidR="008D287C" w:rsidRPr="008D1E81" w:rsidRDefault="00A447C3" w:rsidP="008D287C">
            <w:pPr>
              <w:spacing w:after="0" w:line="240" w:lineRule="auto"/>
              <w:rPr>
                <w:rFonts w:ascii="Calibri" w:eastAsia="Times New Roman" w:hAnsi="Calibri" w:cs="Calibri"/>
                <w:color w:val="000000"/>
                <w:sz w:val="20"/>
                <w:szCs w:val="20"/>
              </w:rPr>
            </w:pPr>
            <w:r w:rsidRPr="008D1E81">
              <w:rPr>
                <w:rFonts w:ascii="Calibri" w:eastAsia="Times New Roman" w:hAnsi="Calibri" w:cs="Calibri"/>
                <w:color w:val="000000"/>
                <w:sz w:val="20"/>
                <w:szCs w:val="20"/>
              </w:rPr>
              <w:t>Certain</w:t>
            </w:r>
          </w:p>
        </w:tc>
        <w:tc>
          <w:tcPr>
            <w:tcW w:w="1576" w:type="dxa"/>
            <w:tcBorders>
              <w:top w:val="single" w:sz="4" w:space="0" w:color="auto"/>
              <w:left w:val="nil"/>
              <w:bottom w:val="single" w:sz="8" w:space="0" w:color="auto"/>
              <w:right w:val="single" w:sz="8" w:space="0" w:color="auto"/>
            </w:tcBorders>
            <w:vAlign w:val="center"/>
            <w:hideMark/>
          </w:tcPr>
          <w:p w14:paraId="3BC222BC" w14:textId="77777777" w:rsidR="008D287C" w:rsidRPr="008D1E81" w:rsidRDefault="008D287C" w:rsidP="008D287C">
            <w:pPr>
              <w:spacing w:after="0" w:line="240" w:lineRule="auto"/>
              <w:rPr>
                <w:rFonts w:ascii="Calibri" w:eastAsia="Times New Roman" w:hAnsi="Calibri" w:cs="Calibri"/>
                <w:color w:val="000000"/>
                <w:sz w:val="20"/>
                <w:szCs w:val="20"/>
              </w:rPr>
            </w:pPr>
            <w:r w:rsidRPr="008D1E81">
              <w:rPr>
                <w:rFonts w:ascii="Calibri" w:eastAsia="Times New Roman" w:hAnsi="Calibri" w:cs="Calibri"/>
                <w:color w:val="000000"/>
                <w:sz w:val="20"/>
                <w:szCs w:val="20"/>
              </w:rPr>
              <w:t>Major</w:t>
            </w:r>
          </w:p>
        </w:tc>
        <w:tc>
          <w:tcPr>
            <w:tcW w:w="1776" w:type="dxa"/>
            <w:tcBorders>
              <w:top w:val="single" w:sz="4" w:space="0" w:color="auto"/>
              <w:left w:val="nil"/>
              <w:bottom w:val="single" w:sz="8" w:space="0" w:color="auto"/>
              <w:right w:val="single" w:sz="8" w:space="0" w:color="auto"/>
            </w:tcBorders>
            <w:shd w:val="clear" w:color="auto" w:fill="C45911" w:themeFill="accent2" w:themeFillShade="BF"/>
            <w:vAlign w:val="center"/>
            <w:hideMark/>
          </w:tcPr>
          <w:p w14:paraId="21BB51C0" w14:textId="6FEE0B2E" w:rsidR="008D287C" w:rsidRPr="008D1E81" w:rsidRDefault="00574603" w:rsidP="008D287C">
            <w:pPr>
              <w:spacing w:after="0" w:line="240" w:lineRule="auto"/>
              <w:rPr>
                <w:rFonts w:ascii="Calibri" w:eastAsia="Times New Roman" w:hAnsi="Calibri" w:cs="Calibri"/>
                <w:color w:val="FFFF00"/>
                <w:sz w:val="20"/>
                <w:szCs w:val="20"/>
              </w:rPr>
            </w:pPr>
            <w:r w:rsidRPr="008D1E81">
              <w:rPr>
                <w:rFonts w:ascii="Calibri" w:eastAsia="Times New Roman" w:hAnsi="Calibri" w:cs="Calibri"/>
                <w:color w:val="000000"/>
                <w:sz w:val="20"/>
                <w:szCs w:val="20"/>
              </w:rPr>
              <w:t>High</w:t>
            </w:r>
          </w:p>
        </w:tc>
        <w:tc>
          <w:tcPr>
            <w:tcW w:w="6156" w:type="dxa"/>
            <w:tcBorders>
              <w:top w:val="single" w:sz="4" w:space="0" w:color="auto"/>
              <w:left w:val="nil"/>
              <w:bottom w:val="single" w:sz="8" w:space="0" w:color="auto"/>
              <w:right w:val="single" w:sz="8" w:space="0" w:color="auto"/>
            </w:tcBorders>
            <w:vAlign w:val="center"/>
            <w:hideMark/>
          </w:tcPr>
          <w:p w14:paraId="2A3C0938" w14:textId="77777777" w:rsidR="008D287C" w:rsidRPr="008D1E81" w:rsidRDefault="008D287C" w:rsidP="008D287C">
            <w:pPr>
              <w:spacing w:after="0" w:line="240" w:lineRule="auto"/>
              <w:jc w:val="both"/>
              <w:rPr>
                <w:rFonts w:ascii="Calibri" w:eastAsia="Times New Roman" w:hAnsi="Calibri" w:cs="Calibri"/>
                <w:color w:val="000000"/>
                <w:sz w:val="20"/>
                <w:szCs w:val="20"/>
              </w:rPr>
            </w:pPr>
            <w:r w:rsidRPr="008D1E81">
              <w:rPr>
                <w:rFonts w:ascii="Calibri" w:eastAsia="Times New Roman" w:hAnsi="Calibri" w:cs="Calibri"/>
                <w:color w:val="000000"/>
                <w:sz w:val="20"/>
                <w:szCs w:val="20"/>
              </w:rPr>
              <w:t>Continued communication between CEO, ED, and Boards; establishing clear roles and responsibilities; mutual cooperation on a variety of initiatives, including some training; agreements or understandings on collaborative items such as Wellness Fund.</w:t>
            </w:r>
          </w:p>
        </w:tc>
      </w:tr>
      <w:tr w:rsidR="008D287C" w:rsidRPr="008D287C" w14:paraId="103152E5" w14:textId="77777777" w:rsidTr="008D287C">
        <w:trPr>
          <w:trHeight w:val="924"/>
        </w:trPr>
        <w:tc>
          <w:tcPr>
            <w:tcW w:w="1776" w:type="dxa"/>
            <w:tcBorders>
              <w:top w:val="nil"/>
              <w:left w:val="nil"/>
              <w:bottom w:val="nil"/>
              <w:right w:val="nil"/>
            </w:tcBorders>
            <w:hideMark/>
          </w:tcPr>
          <w:p w14:paraId="498E4D5A"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shd w:val="clear" w:color="000000" w:fill="FFFFFF"/>
            <w:vAlign w:val="center"/>
            <w:hideMark/>
          </w:tcPr>
          <w:p w14:paraId="733A596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Deterioration of relationship with FCM</w:t>
            </w:r>
          </w:p>
        </w:tc>
        <w:tc>
          <w:tcPr>
            <w:tcW w:w="1596" w:type="dxa"/>
            <w:tcBorders>
              <w:top w:val="nil"/>
              <w:left w:val="nil"/>
              <w:bottom w:val="single" w:sz="8" w:space="0" w:color="auto"/>
              <w:right w:val="single" w:sz="8" w:space="0" w:color="auto"/>
            </w:tcBorders>
            <w:vAlign w:val="center"/>
            <w:hideMark/>
          </w:tcPr>
          <w:p w14:paraId="20857B5F"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3BDABE29"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FFFF00"/>
            <w:vAlign w:val="center"/>
            <w:hideMark/>
          </w:tcPr>
          <w:p w14:paraId="51BDEBC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7E0B3D08"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Continued participation and engagement; initiating direct advocacy efforts with federal officials.</w:t>
            </w:r>
          </w:p>
        </w:tc>
      </w:tr>
      <w:tr w:rsidR="008D287C" w:rsidRPr="008D287C" w14:paraId="62E14A29" w14:textId="77777777" w:rsidTr="000A0446">
        <w:trPr>
          <w:trHeight w:val="2160"/>
        </w:trPr>
        <w:tc>
          <w:tcPr>
            <w:tcW w:w="1776" w:type="dxa"/>
            <w:tcBorders>
              <w:top w:val="nil"/>
              <w:left w:val="nil"/>
              <w:bottom w:val="nil"/>
              <w:right w:val="nil"/>
            </w:tcBorders>
            <w:hideMark/>
          </w:tcPr>
          <w:p w14:paraId="4F45DFC0"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46A5AA4E"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Deterioration of relationship with federal government</w:t>
            </w:r>
          </w:p>
        </w:tc>
        <w:tc>
          <w:tcPr>
            <w:tcW w:w="1596" w:type="dxa"/>
            <w:tcBorders>
              <w:top w:val="nil"/>
              <w:left w:val="nil"/>
              <w:bottom w:val="single" w:sz="8" w:space="0" w:color="auto"/>
              <w:right w:val="single" w:sz="8" w:space="0" w:color="auto"/>
            </w:tcBorders>
            <w:vAlign w:val="center"/>
            <w:hideMark/>
          </w:tcPr>
          <w:p w14:paraId="5C835F35" w14:textId="3A551CCB" w:rsidR="008D287C" w:rsidRPr="008D287C" w:rsidRDefault="00840115"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Possible</w:t>
            </w:r>
          </w:p>
        </w:tc>
        <w:tc>
          <w:tcPr>
            <w:tcW w:w="1576" w:type="dxa"/>
            <w:tcBorders>
              <w:top w:val="nil"/>
              <w:left w:val="nil"/>
              <w:bottom w:val="single" w:sz="8" w:space="0" w:color="auto"/>
              <w:right w:val="single" w:sz="8" w:space="0" w:color="auto"/>
            </w:tcBorders>
            <w:vAlign w:val="center"/>
            <w:hideMark/>
          </w:tcPr>
          <w:p w14:paraId="36E84B2C" w14:textId="3493B628"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w:t>
            </w:r>
            <w:r w:rsidR="009C1874">
              <w:rPr>
                <w:rFonts w:ascii="Calibri" w:eastAsia="Times New Roman" w:hAnsi="Calibri" w:cs="Calibri"/>
                <w:color w:val="000000"/>
                <w:sz w:val="20"/>
                <w:szCs w:val="20"/>
              </w:rPr>
              <w:t>oderate</w:t>
            </w:r>
          </w:p>
        </w:tc>
        <w:tc>
          <w:tcPr>
            <w:tcW w:w="1776" w:type="dxa"/>
            <w:tcBorders>
              <w:top w:val="nil"/>
              <w:left w:val="nil"/>
              <w:bottom w:val="single" w:sz="8" w:space="0" w:color="auto"/>
              <w:right w:val="single" w:sz="8" w:space="0" w:color="auto"/>
            </w:tcBorders>
            <w:shd w:val="clear" w:color="auto" w:fill="FFFF00"/>
            <w:vAlign w:val="center"/>
            <w:hideMark/>
          </w:tcPr>
          <w:p w14:paraId="0898A570" w14:textId="5219F82C" w:rsidR="008D287C" w:rsidRPr="008D287C" w:rsidRDefault="00AD06EE" w:rsidP="008D287C">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Medium</w:t>
            </w:r>
          </w:p>
        </w:tc>
        <w:tc>
          <w:tcPr>
            <w:tcW w:w="6156" w:type="dxa"/>
            <w:tcBorders>
              <w:top w:val="nil"/>
              <w:left w:val="nil"/>
              <w:bottom w:val="single" w:sz="8" w:space="0" w:color="auto"/>
              <w:right w:val="single" w:sz="8" w:space="0" w:color="auto"/>
            </w:tcBorders>
            <w:vAlign w:val="center"/>
            <w:hideMark/>
          </w:tcPr>
          <w:p w14:paraId="630F73FB" w14:textId="1575C7AE"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Staff and Board respond to issues and concerns professionally, responsibly, and strategically; effective communication channels are in place; the nature and tone of the response is situational; collaborative effort with Atlantic municipal associations underway</w:t>
            </w:r>
            <w:r w:rsidR="00ED4BC8">
              <w:rPr>
                <w:rFonts w:ascii="Calibri" w:eastAsia="Times New Roman" w:hAnsi="Calibri" w:cs="Calibri"/>
                <w:color w:val="000000"/>
                <w:sz w:val="20"/>
                <w:szCs w:val="20"/>
              </w:rPr>
              <w:t>.</w:t>
            </w:r>
          </w:p>
        </w:tc>
      </w:tr>
      <w:tr w:rsidR="008D287C" w:rsidRPr="008D287C" w14:paraId="7B6C72C0" w14:textId="77777777" w:rsidTr="008D287C">
        <w:trPr>
          <w:trHeight w:val="1872"/>
        </w:trPr>
        <w:tc>
          <w:tcPr>
            <w:tcW w:w="1776" w:type="dxa"/>
            <w:tcBorders>
              <w:top w:val="nil"/>
              <w:left w:val="nil"/>
              <w:bottom w:val="nil"/>
              <w:right w:val="nil"/>
            </w:tcBorders>
            <w:hideMark/>
          </w:tcPr>
          <w:p w14:paraId="77E6E8E6"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8" w:space="0" w:color="auto"/>
              <w:right w:val="single" w:sz="8" w:space="0" w:color="auto"/>
            </w:tcBorders>
            <w:vAlign w:val="center"/>
            <w:hideMark/>
          </w:tcPr>
          <w:p w14:paraId="7081AFDF"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Deterioration of relationship with provincial government</w:t>
            </w:r>
          </w:p>
        </w:tc>
        <w:tc>
          <w:tcPr>
            <w:tcW w:w="1596" w:type="dxa"/>
            <w:tcBorders>
              <w:top w:val="nil"/>
              <w:left w:val="nil"/>
              <w:bottom w:val="single" w:sz="8" w:space="0" w:color="auto"/>
              <w:right w:val="single" w:sz="8" w:space="0" w:color="auto"/>
            </w:tcBorders>
            <w:vAlign w:val="center"/>
            <w:hideMark/>
          </w:tcPr>
          <w:p w14:paraId="3A44E2A4"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Likely</w:t>
            </w:r>
          </w:p>
        </w:tc>
        <w:tc>
          <w:tcPr>
            <w:tcW w:w="1576" w:type="dxa"/>
            <w:tcBorders>
              <w:top w:val="nil"/>
              <w:left w:val="nil"/>
              <w:bottom w:val="single" w:sz="8" w:space="0" w:color="auto"/>
              <w:right w:val="single" w:sz="8" w:space="0" w:color="auto"/>
            </w:tcBorders>
            <w:vAlign w:val="center"/>
            <w:hideMark/>
          </w:tcPr>
          <w:p w14:paraId="7FB78551"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8" w:space="0" w:color="auto"/>
              <w:right w:val="single" w:sz="8" w:space="0" w:color="auto"/>
            </w:tcBorders>
            <w:shd w:val="clear" w:color="000000" w:fill="C65911"/>
            <w:vAlign w:val="center"/>
            <w:hideMark/>
          </w:tcPr>
          <w:p w14:paraId="3E82692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High</w:t>
            </w:r>
          </w:p>
        </w:tc>
        <w:tc>
          <w:tcPr>
            <w:tcW w:w="6156" w:type="dxa"/>
            <w:tcBorders>
              <w:top w:val="nil"/>
              <w:left w:val="nil"/>
              <w:bottom w:val="single" w:sz="8" w:space="0" w:color="auto"/>
              <w:right w:val="single" w:sz="8" w:space="0" w:color="auto"/>
            </w:tcBorders>
            <w:vAlign w:val="center"/>
            <w:hideMark/>
          </w:tcPr>
          <w:p w14:paraId="2C094A19" w14:textId="37B6F196"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Staff and Board respond to issues and concerns professionally, responsibly, and strategically; effective communication channels are in place; the nature and tone of the response is situational; current provincial government is in regular communication </w:t>
            </w:r>
            <w:r w:rsidR="00ED4BC8" w:rsidRPr="008D287C">
              <w:rPr>
                <w:rFonts w:ascii="Calibri" w:eastAsia="Times New Roman" w:hAnsi="Calibri" w:cs="Calibri"/>
                <w:color w:val="000000"/>
                <w:sz w:val="20"/>
                <w:szCs w:val="20"/>
              </w:rPr>
              <w:t>with</w:t>
            </w:r>
            <w:r w:rsidR="002E19C8">
              <w:rPr>
                <w:rFonts w:ascii="Calibri" w:eastAsia="Times New Roman" w:hAnsi="Calibri" w:cs="Calibri"/>
                <w:color w:val="000000"/>
                <w:sz w:val="20"/>
                <w:szCs w:val="20"/>
              </w:rPr>
              <w:t xml:space="preserve"> NSFM and </w:t>
            </w:r>
            <w:r w:rsidRPr="008D287C">
              <w:rPr>
                <w:rFonts w:ascii="Calibri" w:eastAsia="Times New Roman" w:hAnsi="Calibri" w:cs="Calibri"/>
                <w:color w:val="000000"/>
                <w:sz w:val="20"/>
                <w:szCs w:val="20"/>
              </w:rPr>
              <w:t xml:space="preserve"> partners with </w:t>
            </w:r>
            <w:r w:rsidR="004D7D16">
              <w:rPr>
                <w:rFonts w:ascii="Calibri" w:eastAsia="Times New Roman" w:hAnsi="Calibri" w:cs="Calibri"/>
                <w:color w:val="000000"/>
                <w:sz w:val="20"/>
                <w:szCs w:val="20"/>
              </w:rPr>
              <w:t xml:space="preserve">the </w:t>
            </w:r>
            <w:r w:rsidRPr="008D287C">
              <w:rPr>
                <w:rFonts w:ascii="Calibri" w:eastAsia="Times New Roman" w:hAnsi="Calibri" w:cs="Calibri"/>
                <w:color w:val="000000"/>
                <w:sz w:val="20"/>
                <w:szCs w:val="20"/>
              </w:rPr>
              <w:t>organization on a number of initiatives.</w:t>
            </w:r>
          </w:p>
        </w:tc>
      </w:tr>
      <w:tr w:rsidR="008D287C" w:rsidRPr="008D287C" w14:paraId="76C52317" w14:textId="77777777" w:rsidTr="004B47D0">
        <w:trPr>
          <w:trHeight w:val="1980"/>
        </w:trPr>
        <w:tc>
          <w:tcPr>
            <w:tcW w:w="1776" w:type="dxa"/>
            <w:tcBorders>
              <w:top w:val="nil"/>
              <w:left w:val="nil"/>
              <w:bottom w:val="nil"/>
              <w:right w:val="nil"/>
            </w:tcBorders>
            <w:hideMark/>
          </w:tcPr>
          <w:p w14:paraId="0A7B2F82"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nil"/>
              <w:left w:val="single" w:sz="8" w:space="0" w:color="auto"/>
              <w:bottom w:val="single" w:sz="4" w:space="0" w:color="auto"/>
              <w:right w:val="single" w:sz="8" w:space="0" w:color="auto"/>
            </w:tcBorders>
            <w:vAlign w:val="center"/>
            <w:hideMark/>
          </w:tcPr>
          <w:p w14:paraId="32DA362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Impact of municipal positions/policy on the Board or Board members</w:t>
            </w:r>
          </w:p>
        </w:tc>
        <w:tc>
          <w:tcPr>
            <w:tcW w:w="1596" w:type="dxa"/>
            <w:tcBorders>
              <w:top w:val="nil"/>
              <w:left w:val="nil"/>
              <w:bottom w:val="single" w:sz="4" w:space="0" w:color="auto"/>
              <w:right w:val="single" w:sz="8" w:space="0" w:color="auto"/>
            </w:tcBorders>
            <w:vAlign w:val="center"/>
            <w:hideMark/>
          </w:tcPr>
          <w:p w14:paraId="785CBBFA"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Likely</w:t>
            </w:r>
          </w:p>
        </w:tc>
        <w:tc>
          <w:tcPr>
            <w:tcW w:w="1576" w:type="dxa"/>
            <w:tcBorders>
              <w:top w:val="nil"/>
              <w:left w:val="nil"/>
              <w:bottom w:val="single" w:sz="4" w:space="0" w:color="auto"/>
              <w:right w:val="single" w:sz="8" w:space="0" w:color="auto"/>
            </w:tcBorders>
            <w:vAlign w:val="center"/>
            <w:hideMark/>
          </w:tcPr>
          <w:p w14:paraId="18A4540B"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Major</w:t>
            </w:r>
          </w:p>
        </w:tc>
        <w:tc>
          <w:tcPr>
            <w:tcW w:w="1776" w:type="dxa"/>
            <w:tcBorders>
              <w:top w:val="nil"/>
              <w:left w:val="nil"/>
              <w:bottom w:val="single" w:sz="4" w:space="0" w:color="auto"/>
              <w:right w:val="single" w:sz="8" w:space="0" w:color="auto"/>
            </w:tcBorders>
            <w:shd w:val="clear" w:color="000000" w:fill="C65911"/>
            <w:vAlign w:val="center"/>
            <w:hideMark/>
          </w:tcPr>
          <w:p w14:paraId="7338E4F6"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High</w:t>
            </w:r>
          </w:p>
        </w:tc>
        <w:tc>
          <w:tcPr>
            <w:tcW w:w="6156" w:type="dxa"/>
            <w:tcBorders>
              <w:top w:val="nil"/>
              <w:left w:val="nil"/>
              <w:bottom w:val="single" w:sz="4" w:space="0" w:color="auto"/>
              <w:right w:val="single" w:sz="8" w:space="0" w:color="auto"/>
            </w:tcBorders>
            <w:vAlign w:val="center"/>
            <w:hideMark/>
          </w:tcPr>
          <w:p w14:paraId="68B4AFB2" w14:textId="3BEE29A1"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 xml:space="preserve">Clarity of role of President and CEO; Board member defers to another Board member if they are in a conflict position (perceived or otherwise); </w:t>
            </w:r>
            <w:r w:rsidR="00CA11FE">
              <w:rPr>
                <w:rFonts w:ascii="Calibri" w:eastAsia="Times New Roman" w:hAnsi="Calibri" w:cs="Calibri"/>
                <w:color w:val="000000"/>
                <w:sz w:val="20"/>
                <w:szCs w:val="20"/>
              </w:rPr>
              <w:t xml:space="preserve">Board </w:t>
            </w:r>
            <w:r w:rsidRPr="008D287C">
              <w:rPr>
                <w:rFonts w:ascii="Calibri" w:eastAsia="Times New Roman" w:hAnsi="Calibri" w:cs="Calibri"/>
                <w:color w:val="000000"/>
                <w:sz w:val="20"/>
                <w:szCs w:val="20"/>
              </w:rPr>
              <w:t>Code of Conduct; enhanced Board orientation; media communication clearly articulates when spokespersons are speaking on behalf of the organization.</w:t>
            </w:r>
          </w:p>
        </w:tc>
      </w:tr>
      <w:tr w:rsidR="008D287C" w:rsidRPr="008D287C" w14:paraId="6D1D0FF5" w14:textId="77777777" w:rsidTr="004B47D0">
        <w:trPr>
          <w:trHeight w:val="1464"/>
        </w:trPr>
        <w:tc>
          <w:tcPr>
            <w:tcW w:w="1776" w:type="dxa"/>
            <w:tcBorders>
              <w:top w:val="nil"/>
              <w:left w:val="nil"/>
              <w:bottom w:val="nil"/>
              <w:right w:val="nil"/>
            </w:tcBorders>
            <w:hideMark/>
          </w:tcPr>
          <w:p w14:paraId="03E02AFC" w14:textId="77777777" w:rsidR="008D287C" w:rsidRPr="008D287C" w:rsidRDefault="008D287C" w:rsidP="008D287C">
            <w:pPr>
              <w:spacing w:after="0" w:line="240" w:lineRule="auto"/>
              <w:jc w:val="both"/>
              <w:rPr>
                <w:rFonts w:ascii="Calibri" w:eastAsia="Times New Roman" w:hAnsi="Calibri" w:cs="Calibri"/>
                <w:color w:val="000000"/>
              </w:rPr>
            </w:pPr>
          </w:p>
        </w:tc>
        <w:tc>
          <w:tcPr>
            <w:tcW w:w="2118" w:type="dxa"/>
            <w:tcBorders>
              <w:top w:val="single" w:sz="4" w:space="0" w:color="auto"/>
              <w:left w:val="single" w:sz="8" w:space="0" w:color="auto"/>
              <w:bottom w:val="single" w:sz="8" w:space="0" w:color="auto"/>
              <w:right w:val="single" w:sz="8" w:space="0" w:color="auto"/>
            </w:tcBorders>
            <w:vAlign w:val="center"/>
            <w:hideMark/>
          </w:tcPr>
          <w:p w14:paraId="49DDC25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Loss of credibility as a member organization</w:t>
            </w:r>
          </w:p>
        </w:tc>
        <w:tc>
          <w:tcPr>
            <w:tcW w:w="1596" w:type="dxa"/>
            <w:tcBorders>
              <w:top w:val="single" w:sz="4" w:space="0" w:color="auto"/>
              <w:left w:val="nil"/>
              <w:bottom w:val="single" w:sz="8" w:space="0" w:color="auto"/>
              <w:right w:val="single" w:sz="8" w:space="0" w:color="auto"/>
            </w:tcBorders>
            <w:vAlign w:val="center"/>
            <w:hideMark/>
          </w:tcPr>
          <w:p w14:paraId="5B745CD0"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Possible</w:t>
            </w:r>
          </w:p>
        </w:tc>
        <w:tc>
          <w:tcPr>
            <w:tcW w:w="1576" w:type="dxa"/>
            <w:tcBorders>
              <w:top w:val="single" w:sz="4" w:space="0" w:color="auto"/>
              <w:left w:val="nil"/>
              <w:bottom w:val="single" w:sz="8" w:space="0" w:color="auto"/>
              <w:right w:val="single" w:sz="8" w:space="0" w:color="auto"/>
            </w:tcBorders>
            <w:vAlign w:val="center"/>
            <w:hideMark/>
          </w:tcPr>
          <w:p w14:paraId="1A198B08"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Catastrophic</w:t>
            </w:r>
          </w:p>
        </w:tc>
        <w:tc>
          <w:tcPr>
            <w:tcW w:w="1776" w:type="dxa"/>
            <w:tcBorders>
              <w:top w:val="single" w:sz="4" w:space="0" w:color="auto"/>
              <w:left w:val="nil"/>
              <w:bottom w:val="single" w:sz="8" w:space="0" w:color="auto"/>
              <w:right w:val="single" w:sz="8" w:space="0" w:color="auto"/>
            </w:tcBorders>
            <w:shd w:val="clear" w:color="000000" w:fill="FFFF00"/>
            <w:vAlign w:val="center"/>
            <w:hideMark/>
          </w:tcPr>
          <w:p w14:paraId="60F761DC" w14:textId="77777777" w:rsidR="008D287C" w:rsidRPr="008D287C" w:rsidRDefault="008D287C" w:rsidP="008D287C">
            <w:pPr>
              <w:spacing w:after="0" w:line="240" w:lineRule="auto"/>
              <w:rPr>
                <w:rFonts w:ascii="Calibri" w:eastAsia="Times New Roman" w:hAnsi="Calibri" w:cs="Calibri"/>
                <w:color w:val="000000"/>
                <w:sz w:val="20"/>
                <w:szCs w:val="20"/>
              </w:rPr>
            </w:pPr>
            <w:r w:rsidRPr="008D287C">
              <w:rPr>
                <w:rFonts w:ascii="Calibri" w:eastAsia="Times New Roman" w:hAnsi="Calibri" w:cs="Calibri"/>
                <w:color w:val="000000"/>
                <w:sz w:val="20"/>
                <w:szCs w:val="20"/>
              </w:rPr>
              <w:t>Medium</w:t>
            </w:r>
          </w:p>
        </w:tc>
        <w:tc>
          <w:tcPr>
            <w:tcW w:w="6156" w:type="dxa"/>
            <w:tcBorders>
              <w:top w:val="single" w:sz="4" w:space="0" w:color="auto"/>
              <w:left w:val="nil"/>
              <w:bottom w:val="single" w:sz="8" w:space="0" w:color="auto"/>
              <w:right w:val="single" w:sz="8" w:space="0" w:color="auto"/>
            </w:tcBorders>
            <w:vAlign w:val="center"/>
            <w:hideMark/>
          </w:tcPr>
          <w:p w14:paraId="0D72185B" w14:textId="77777777" w:rsidR="008D287C" w:rsidRPr="008D287C" w:rsidRDefault="008D287C" w:rsidP="008D287C">
            <w:pPr>
              <w:spacing w:after="0" w:line="240" w:lineRule="auto"/>
              <w:jc w:val="both"/>
              <w:rPr>
                <w:rFonts w:ascii="Calibri" w:eastAsia="Times New Roman" w:hAnsi="Calibri" w:cs="Calibri"/>
                <w:color w:val="000000"/>
                <w:sz w:val="20"/>
                <w:szCs w:val="20"/>
              </w:rPr>
            </w:pPr>
            <w:r w:rsidRPr="008D287C">
              <w:rPr>
                <w:rFonts w:ascii="Calibri" w:eastAsia="Times New Roman" w:hAnsi="Calibri" w:cs="Calibri"/>
                <w:color w:val="000000"/>
                <w:sz w:val="20"/>
                <w:szCs w:val="20"/>
              </w:rPr>
              <w:t>Continue a high level of member engagement; always seeking increased ties and focus with members; accountability of the Board to the membership; communicate success; Board is strategic in its direction and task assignment.</w:t>
            </w:r>
          </w:p>
        </w:tc>
      </w:tr>
    </w:tbl>
    <w:p w14:paraId="33251349" w14:textId="77777777" w:rsidR="000D7DF8" w:rsidRPr="000D7DF8" w:rsidRDefault="000D7DF8" w:rsidP="000D7DF8">
      <w:pPr>
        <w:rPr>
          <w:rFonts w:cstheme="minorHAnsi"/>
        </w:rPr>
      </w:pPr>
    </w:p>
    <w:p w14:paraId="218A4B81" w14:textId="77777777" w:rsidR="005E2152" w:rsidRDefault="005E2152" w:rsidP="00FE0D58">
      <w:pPr>
        <w:rPr>
          <w:b/>
          <w:bCs/>
          <w:sz w:val="28"/>
          <w:szCs w:val="28"/>
        </w:rPr>
      </w:pPr>
    </w:p>
    <w:p w14:paraId="73F2BBCB" w14:textId="5633D26D" w:rsidR="00FC4FB5" w:rsidRDefault="00FC4FB5" w:rsidP="00FE0D58">
      <w:pPr>
        <w:rPr>
          <w:b/>
          <w:bCs/>
          <w:sz w:val="28"/>
          <w:szCs w:val="28"/>
        </w:rPr>
      </w:pPr>
    </w:p>
    <w:sectPr w:rsidR="00FC4FB5" w:rsidSect="005836B9">
      <w:pgSz w:w="15840" w:h="12240" w:orient="landscape"/>
      <w:pgMar w:top="1440" w:right="1440" w:bottom="1260" w:left="144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6282E"/>
    <w:multiLevelType w:val="hybridMultilevel"/>
    <w:tmpl w:val="42B23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116E4E"/>
    <w:multiLevelType w:val="hybridMultilevel"/>
    <w:tmpl w:val="4CFA6A8E"/>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6132838"/>
    <w:multiLevelType w:val="hybridMultilevel"/>
    <w:tmpl w:val="44F82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8A41E1"/>
    <w:multiLevelType w:val="hybridMultilevel"/>
    <w:tmpl w:val="0A9C872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9466976"/>
    <w:multiLevelType w:val="hybridMultilevel"/>
    <w:tmpl w:val="4ECC5D0C"/>
    <w:lvl w:ilvl="0" w:tplc="F45887B6">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CC7C5826">
      <w:start w:val="1"/>
      <w:numFmt w:val="bullet"/>
      <w:lvlText w:val="o"/>
      <w:lvlJc w:val="left"/>
      <w:pPr>
        <w:ind w:left="15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FE4EB346">
      <w:start w:val="1"/>
      <w:numFmt w:val="bullet"/>
      <w:lvlText w:val="▪"/>
      <w:lvlJc w:val="left"/>
      <w:pPr>
        <w:ind w:left="22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2C366E56">
      <w:start w:val="1"/>
      <w:numFmt w:val="bullet"/>
      <w:lvlText w:val="•"/>
      <w:lvlJc w:val="left"/>
      <w:pPr>
        <w:ind w:left="29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7578E86C">
      <w:start w:val="1"/>
      <w:numFmt w:val="bullet"/>
      <w:lvlText w:val="o"/>
      <w:lvlJc w:val="left"/>
      <w:pPr>
        <w:ind w:left="369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1C122DBA">
      <w:start w:val="1"/>
      <w:numFmt w:val="bullet"/>
      <w:lvlText w:val="▪"/>
      <w:lvlJc w:val="left"/>
      <w:pPr>
        <w:ind w:left="441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AB5C9778">
      <w:start w:val="1"/>
      <w:numFmt w:val="bullet"/>
      <w:lvlText w:val="•"/>
      <w:lvlJc w:val="left"/>
      <w:pPr>
        <w:ind w:left="51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7EA635D8">
      <w:start w:val="1"/>
      <w:numFmt w:val="bullet"/>
      <w:lvlText w:val="o"/>
      <w:lvlJc w:val="left"/>
      <w:pPr>
        <w:ind w:left="58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2A961968">
      <w:start w:val="1"/>
      <w:numFmt w:val="bullet"/>
      <w:lvlText w:val="▪"/>
      <w:lvlJc w:val="left"/>
      <w:pPr>
        <w:ind w:left="65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5" w15:restartNumberingAfterBreak="0">
    <w:nsid w:val="098142C2"/>
    <w:multiLevelType w:val="hybridMultilevel"/>
    <w:tmpl w:val="BBC274E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DB16008"/>
    <w:multiLevelType w:val="hybridMultilevel"/>
    <w:tmpl w:val="CE96EB2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0FF67C94"/>
    <w:multiLevelType w:val="hybridMultilevel"/>
    <w:tmpl w:val="397E16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383A78"/>
    <w:multiLevelType w:val="hybridMultilevel"/>
    <w:tmpl w:val="80FE1EE0"/>
    <w:lvl w:ilvl="0" w:tplc="BC6630F8">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16E249F4">
      <w:start w:val="1"/>
      <w:numFmt w:val="bullet"/>
      <w:lvlText w:val="o"/>
      <w:lvlJc w:val="left"/>
      <w:pPr>
        <w:ind w:left="15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762CD8A2">
      <w:start w:val="1"/>
      <w:numFmt w:val="bullet"/>
      <w:lvlText w:val="▪"/>
      <w:lvlJc w:val="left"/>
      <w:pPr>
        <w:ind w:left="22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6680B09A">
      <w:start w:val="1"/>
      <w:numFmt w:val="bullet"/>
      <w:lvlText w:val="•"/>
      <w:lvlJc w:val="left"/>
      <w:pPr>
        <w:ind w:left="29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8E9ED670">
      <w:start w:val="1"/>
      <w:numFmt w:val="bullet"/>
      <w:lvlText w:val="o"/>
      <w:lvlJc w:val="left"/>
      <w:pPr>
        <w:ind w:left="369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1C84650E">
      <w:start w:val="1"/>
      <w:numFmt w:val="bullet"/>
      <w:lvlText w:val="▪"/>
      <w:lvlJc w:val="left"/>
      <w:pPr>
        <w:ind w:left="441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4FF84156">
      <w:start w:val="1"/>
      <w:numFmt w:val="bullet"/>
      <w:lvlText w:val="•"/>
      <w:lvlJc w:val="left"/>
      <w:pPr>
        <w:ind w:left="51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F6722B5A">
      <w:start w:val="1"/>
      <w:numFmt w:val="bullet"/>
      <w:lvlText w:val="o"/>
      <w:lvlJc w:val="left"/>
      <w:pPr>
        <w:ind w:left="58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8D4ACF86">
      <w:start w:val="1"/>
      <w:numFmt w:val="bullet"/>
      <w:lvlText w:val="▪"/>
      <w:lvlJc w:val="left"/>
      <w:pPr>
        <w:ind w:left="65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9" w15:restartNumberingAfterBreak="0">
    <w:nsid w:val="14D43923"/>
    <w:multiLevelType w:val="hybridMultilevel"/>
    <w:tmpl w:val="83887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027677"/>
    <w:multiLevelType w:val="hybridMultilevel"/>
    <w:tmpl w:val="0680E0DA"/>
    <w:lvl w:ilvl="0" w:tplc="B2F4E2D0">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C700C6F2">
      <w:start w:val="1"/>
      <w:numFmt w:val="bullet"/>
      <w:lvlText w:val="o"/>
      <w:lvlJc w:val="left"/>
      <w:pPr>
        <w:ind w:left="15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BFC20AC6">
      <w:start w:val="1"/>
      <w:numFmt w:val="bullet"/>
      <w:lvlText w:val="▪"/>
      <w:lvlJc w:val="left"/>
      <w:pPr>
        <w:ind w:left="22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A602380E">
      <w:start w:val="1"/>
      <w:numFmt w:val="bullet"/>
      <w:lvlText w:val="•"/>
      <w:lvlJc w:val="left"/>
      <w:pPr>
        <w:ind w:left="29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BF20B14C">
      <w:start w:val="1"/>
      <w:numFmt w:val="bullet"/>
      <w:lvlText w:val="o"/>
      <w:lvlJc w:val="left"/>
      <w:pPr>
        <w:ind w:left="369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5ED2089E">
      <w:start w:val="1"/>
      <w:numFmt w:val="bullet"/>
      <w:lvlText w:val="▪"/>
      <w:lvlJc w:val="left"/>
      <w:pPr>
        <w:ind w:left="441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0D8C2B0C">
      <w:start w:val="1"/>
      <w:numFmt w:val="bullet"/>
      <w:lvlText w:val="•"/>
      <w:lvlJc w:val="left"/>
      <w:pPr>
        <w:ind w:left="51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B184836A">
      <w:start w:val="1"/>
      <w:numFmt w:val="bullet"/>
      <w:lvlText w:val="o"/>
      <w:lvlJc w:val="left"/>
      <w:pPr>
        <w:ind w:left="58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ECF2A1A0">
      <w:start w:val="1"/>
      <w:numFmt w:val="bullet"/>
      <w:lvlText w:val="▪"/>
      <w:lvlJc w:val="left"/>
      <w:pPr>
        <w:ind w:left="65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11" w15:restartNumberingAfterBreak="0">
    <w:nsid w:val="1D0A4719"/>
    <w:multiLevelType w:val="hybridMultilevel"/>
    <w:tmpl w:val="E61682D0"/>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EE445A5"/>
    <w:multiLevelType w:val="hybridMultilevel"/>
    <w:tmpl w:val="01E40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2F4F42"/>
    <w:multiLevelType w:val="hybridMultilevel"/>
    <w:tmpl w:val="CF2A0D3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227B7876"/>
    <w:multiLevelType w:val="hybridMultilevel"/>
    <w:tmpl w:val="23E8E6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24FD25A4"/>
    <w:multiLevelType w:val="hybridMultilevel"/>
    <w:tmpl w:val="6DDE726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5DE64C8"/>
    <w:multiLevelType w:val="hybridMultilevel"/>
    <w:tmpl w:val="26C6D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5FB3919"/>
    <w:multiLevelType w:val="hybridMultilevel"/>
    <w:tmpl w:val="652CAF1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260F54F3"/>
    <w:multiLevelType w:val="hybridMultilevel"/>
    <w:tmpl w:val="80C81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9DE5788"/>
    <w:multiLevelType w:val="hybridMultilevel"/>
    <w:tmpl w:val="7932C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1787523"/>
    <w:multiLevelType w:val="hybridMultilevel"/>
    <w:tmpl w:val="469A0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A45E38"/>
    <w:multiLevelType w:val="hybridMultilevel"/>
    <w:tmpl w:val="C7383A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7B3119A"/>
    <w:multiLevelType w:val="hybridMultilevel"/>
    <w:tmpl w:val="F970C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7B12EE"/>
    <w:multiLevelType w:val="hybridMultilevel"/>
    <w:tmpl w:val="99BADEEA"/>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F5D1357"/>
    <w:multiLevelType w:val="hybridMultilevel"/>
    <w:tmpl w:val="4670A7F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3FDC230A"/>
    <w:multiLevelType w:val="hybridMultilevel"/>
    <w:tmpl w:val="EBAE02B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6CA016E"/>
    <w:multiLevelType w:val="hybridMultilevel"/>
    <w:tmpl w:val="315E3D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7914D7"/>
    <w:multiLevelType w:val="hybridMultilevel"/>
    <w:tmpl w:val="86D629B8"/>
    <w:lvl w:ilvl="0" w:tplc="CFEC1C58">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ABD0FE78">
      <w:start w:val="1"/>
      <w:numFmt w:val="bullet"/>
      <w:lvlText w:val="o"/>
      <w:lvlJc w:val="left"/>
      <w:pPr>
        <w:ind w:left="149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E16C67E8">
      <w:start w:val="1"/>
      <w:numFmt w:val="bullet"/>
      <w:lvlText w:val="▪"/>
      <w:lvlJc w:val="left"/>
      <w:pPr>
        <w:ind w:left="221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9782FF2E">
      <w:start w:val="1"/>
      <w:numFmt w:val="bullet"/>
      <w:lvlText w:val="•"/>
      <w:lvlJc w:val="left"/>
      <w:pPr>
        <w:ind w:left="293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3434F5AA">
      <w:start w:val="1"/>
      <w:numFmt w:val="bullet"/>
      <w:lvlText w:val="o"/>
      <w:lvlJc w:val="left"/>
      <w:pPr>
        <w:ind w:left="365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377E6434">
      <w:start w:val="1"/>
      <w:numFmt w:val="bullet"/>
      <w:lvlText w:val="▪"/>
      <w:lvlJc w:val="left"/>
      <w:pPr>
        <w:ind w:left="437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A7EA6FA0">
      <w:start w:val="1"/>
      <w:numFmt w:val="bullet"/>
      <w:lvlText w:val="•"/>
      <w:lvlJc w:val="left"/>
      <w:pPr>
        <w:ind w:left="509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DF484C3C">
      <w:start w:val="1"/>
      <w:numFmt w:val="bullet"/>
      <w:lvlText w:val="o"/>
      <w:lvlJc w:val="left"/>
      <w:pPr>
        <w:ind w:left="581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F1E8ED16">
      <w:start w:val="1"/>
      <w:numFmt w:val="bullet"/>
      <w:lvlText w:val="▪"/>
      <w:lvlJc w:val="left"/>
      <w:pPr>
        <w:ind w:left="6531"/>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28" w15:restartNumberingAfterBreak="0">
    <w:nsid w:val="4DD068FC"/>
    <w:multiLevelType w:val="hybridMultilevel"/>
    <w:tmpl w:val="F8A0C592"/>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4F0068F1"/>
    <w:multiLevelType w:val="hybridMultilevel"/>
    <w:tmpl w:val="8CCE5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F2470A8"/>
    <w:multiLevelType w:val="hybridMultilevel"/>
    <w:tmpl w:val="3648E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FE70B29"/>
    <w:multiLevelType w:val="hybridMultilevel"/>
    <w:tmpl w:val="C2B065C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7952CA5"/>
    <w:multiLevelType w:val="hybridMultilevel"/>
    <w:tmpl w:val="33FA670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5681049"/>
    <w:multiLevelType w:val="hybridMultilevel"/>
    <w:tmpl w:val="DA5A3DBE"/>
    <w:lvl w:ilvl="0" w:tplc="026678E2">
      <w:start w:val="1"/>
      <w:numFmt w:val="bullet"/>
      <w:lvlText w:val="•"/>
      <w:lvlJc w:val="left"/>
      <w:pPr>
        <w:ind w:left="892"/>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1" w:tplc="115C544C">
      <w:start w:val="1"/>
      <w:numFmt w:val="bullet"/>
      <w:lvlText w:val="o"/>
      <w:lvlJc w:val="left"/>
      <w:pPr>
        <w:ind w:left="15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2" w:tplc="5D0AC378">
      <w:start w:val="1"/>
      <w:numFmt w:val="bullet"/>
      <w:lvlText w:val="▪"/>
      <w:lvlJc w:val="left"/>
      <w:pPr>
        <w:ind w:left="22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3" w:tplc="7D92DA6A">
      <w:start w:val="1"/>
      <w:numFmt w:val="bullet"/>
      <w:lvlText w:val="•"/>
      <w:lvlJc w:val="left"/>
      <w:pPr>
        <w:ind w:left="29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4" w:tplc="D602821E">
      <w:start w:val="1"/>
      <w:numFmt w:val="bullet"/>
      <w:lvlText w:val="o"/>
      <w:lvlJc w:val="left"/>
      <w:pPr>
        <w:ind w:left="369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5" w:tplc="423675A0">
      <w:start w:val="1"/>
      <w:numFmt w:val="bullet"/>
      <w:lvlText w:val="▪"/>
      <w:lvlJc w:val="left"/>
      <w:pPr>
        <w:ind w:left="441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6" w:tplc="D7E4C278">
      <w:start w:val="1"/>
      <w:numFmt w:val="bullet"/>
      <w:lvlText w:val="•"/>
      <w:lvlJc w:val="left"/>
      <w:pPr>
        <w:ind w:left="513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7" w:tplc="115C3B08">
      <w:start w:val="1"/>
      <w:numFmt w:val="bullet"/>
      <w:lvlText w:val="o"/>
      <w:lvlJc w:val="left"/>
      <w:pPr>
        <w:ind w:left="585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lvl w:ilvl="8" w:tplc="1DC69102">
      <w:start w:val="1"/>
      <w:numFmt w:val="bullet"/>
      <w:lvlText w:val="▪"/>
      <w:lvlJc w:val="left"/>
      <w:pPr>
        <w:ind w:left="6578"/>
      </w:pPr>
      <w:rPr>
        <w:rFonts w:ascii="Arial" w:eastAsia="Arial" w:hAnsi="Arial" w:cs="Arial"/>
        <w:b w:val="0"/>
        <w:i w:val="0"/>
        <w:strike w:val="0"/>
        <w:dstrike w:val="0"/>
        <w:color w:val="595959"/>
        <w:sz w:val="56"/>
        <w:szCs w:val="56"/>
        <w:u w:val="none" w:color="000000"/>
        <w:bdr w:val="none" w:sz="0" w:space="0" w:color="auto"/>
        <w:shd w:val="clear" w:color="auto" w:fill="auto"/>
        <w:vertAlign w:val="baseline"/>
      </w:rPr>
    </w:lvl>
  </w:abstractNum>
  <w:abstractNum w:abstractNumId="34" w15:restartNumberingAfterBreak="0">
    <w:nsid w:val="663E3282"/>
    <w:multiLevelType w:val="hybridMultilevel"/>
    <w:tmpl w:val="E8BC01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0801D1F"/>
    <w:multiLevelType w:val="multilevel"/>
    <w:tmpl w:val="E48ED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F12C3A"/>
    <w:multiLevelType w:val="hybridMultilevel"/>
    <w:tmpl w:val="C6F2BD5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37" w15:restartNumberingAfterBreak="0">
    <w:nsid w:val="769748E5"/>
    <w:multiLevelType w:val="hybridMultilevel"/>
    <w:tmpl w:val="B65806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15:restartNumberingAfterBreak="0">
    <w:nsid w:val="7D2C50D8"/>
    <w:multiLevelType w:val="hybridMultilevel"/>
    <w:tmpl w:val="6382F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DB4EA1"/>
    <w:multiLevelType w:val="hybridMultilevel"/>
    <w:tmpl w:val="73D43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41323358">
    <w:abstractNumId w:val="32"/>
  </w:num>
  <w:num w:numId="2" w16cid:durableId="1088774299">
    <w:abstractNumId w:val="11"/>
  </w:num>
  <w:num w:numId="3" w16cid:durableId="929850282">
    <w:abstractNumId w:val="24"/>
  </w:num>
  <w:num w:numId="4" w16cid:durableId="1056313712">
    <w:abstractNumId w:val="15"/>
  </w:num>
  <w:num w:numId="5" w16cid:durableId="1915968513">
    <w:abstractNumId w:val="31"/>
  </w:num>
  <w:num w:numId="6" w16cid:durableId="1905752495">
    <w:abstractNumId w:val="5"/>
  </w:num>
  <w:num w:numId="7" w16cid:durableId="555432114">
    <w:abstractNumId w:val="6"/>
  </w:num>
  <w:num w:numId="8" w16cid:durableId="1305697409">
    <w:abstractNumId w:val="13"/>
  </w:num>
  <w:num w:numId="9" w16cid:durableId="943027737">
    <w:abstractNumId w:val="3"/>
  </w:num>
  <w:num w:numId="10" w16cid:durableId="2097314538">
    <w:abstractNumId w:val="36"/>
  </w:num>
  <w:num w:numId="11" w16cid:durableId="1252273505">
    <w:abstractNumId w:val="14"/>
  </w:num>
  <w:num w:numId="12" w16cid:durableId="765343018">
    <w:abstractNumId w:val="37"/>
  </w:num>
  <w:num w:numId="13" w16cid:durableId="593709218">
    <w:abstractNumId w:val="17"/>
  </w:num>
  <w:num w:numId="14" w16cid:durableId="1942910424">
    <w:abstractNumId w:val="25"/>
  </w:num>
  <w:num w:numId="15" w16cid:durableId="1729960218">
    <w:abstractNumId w:val="1"/>
  </w:num>
  <w:num w:numId="16" w16cid:durableId="1834493075">
    <w:abstractNumId w:val="26"/>
  </w:num>
  <w:num w:numId="17" w16cid:durableId="2005081978">
    <w:abstractNumId w:val="23"/>
  </w:num>
  <w:num w:numId="18" w16cid:durableId="1669362835">
    <w:abstractNumId w:val="28"/>
  </w:num>
  <w:num w:numId="19" w16cid:durableId="1815296783">
    <w:abstractNumId w:val="39"/>
  </w:num>
  <w:num w:numId="20" w16cid:durableId="2048679755">
    <w:abstractNumId w:val="2"/>
  </w:num>
  <w:num w:numId="21" w16cid:durableId="582952718">
    <w:abstractNumId w:val="7"/>
  </w:num>
  <w:num w:numId="22" w16cid:durableId="1491406832">
    <w:abstractNumId w:val="8"/>
  </w:num>
  <w:num w:numId="23" w16cid:durableId="1391878452">
    <w:abstractNumId w:val="34"/>
  </w:num>
  <w:num w:numId="24" w16cid:durableId="376399512">
    <w:abstractNumId w:val="33"/>
  </w:num>
  <w:num w:numId="25" w16cid:durableId="1387988777">
    <w:abstractNumId w:val="29"/>
  </w:num>
  <w:num w:numId="26" w16cid:durableId="1339961162">
    <w:abstractNumId w:val="27"/>
  </w:num>
  <w:num w:numId="27" w16cid:durableId="985671887">
    <w:abstractNumId w:val="22"/>
  </w:num>
  <w:num w:numId="28" w16cid:durableId="1617172038">
    <w:abstractNumId w:val="16"/>
  </w:num>
  <w:num w:numId="29" w16cid:durableId="2000883989">
    <w:abstractNumId w:val="4"/>
  </w:num>
  <w:num w:numId="30" w16cid:durableId="1971783665">
    <w:abstractNumId w:val="10"/>
  </w:num>
  <w:num w:numId="31" w16cid:durableId="1067336067">
    <w:abstractNumId w:val="0"/>
  </w:num>
  <w:num w:numId="32" w16cid:durableId="544147102">
    <w:abstractNumId w:val="38"/>
  </w:num>
  <w:num w:numId="33" w16cid:durableId="414133799">
    <w:abstractNumId w:val="21"/>
  </w:num>
  <w:num w:numId="34" w16cid:durableId="1141114271">
    <w:abstractNumId w:val="30"/>
  </w:num>
  <w:num w:numId="35" w16cid:durableId="57628955">
    <w:abstractNumId w:val="18"/>
  </w:num>
  <w:num w:numId="36" w16cid:durableId="1236092929">
    <w:abstractNumId w:val="12"/>
  </w:num>
  <w:num w:numId="37" w16cid:durableId="1237128556">
    <w:abstractNumId w:val="9"/>
  </w:num>
  <w:num w:numId="38" w16cid:durableId="193925835">
    <w:abstractNumId w:val="19"/>
  </w:num>
  <w:num w:numId="39" w16cid:durableId="611211547">
    <w:abstractNumId w:val="20"/>
  </w:num>
  <w:num w:numId="40" w16cid:durableId="111903578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5072"/>
    <w:rsid w:val="0000438C"/>
    <w:rsid w:val="00007C7A"/>
    <w:rsid w:val="00011FE0"/>
    <w:rsid w:val="00012CE7"/>
    <w:rsid w:val="0001677D"/>
    <w:rsid w:val="00017041"/>
    <w:rsid w:val="000225ED"/>
    <w:rsid w:val="00022614"/>
    <w:rsid w:val="00041C0E"/>
    <w:rsid w:val="000433EA"/>
    <w:rsid w:val="00056262"/>
    <w:rsid w:val="00057685"/>
    <w:rsid w:val="00060B81"/>
    <w:rsid w:val="00061391"/>
    <w:rsid w:val="00061EA2"/>
    <w:rsid w:val="00062256"/>
    <w:rsid w:val="000635BC"/>
    <w:rsid w:val="00063FFF"/>
    <w:rsid w:val="000647F9"/>
    <w:rsid w:val="000657C2"/>
    <w:rsid w:val="000678EE"/>
    <w:rsid w:val="0007298F"/>
    <w:rsid w:val="00077473"/>
    <w:rsid w:val="00082DA6"/>
    <w:rsid w:val="00083287"/>
    <w:rsid w:val="000934C3"/>
    <w:rsid w:val="000A0446"/>
    <w:rsid w:val="000A13F7"/>
    <w:rsid w:val="000A2FEA"/>
    <w:rsid w:val="000A559E"/>
    <w:rsid w:val="000A697B"/>
    <w:rsid w:val="000B144E"/>
    <w:rsid w:val="000B17BB"/>
    <w:rsid w:val="000B185C"/>
    <w:rsid w:val="000B25D4"/>
    <w:rsid w:val="000B5E9B"/>
    <w:rsid w:val="000C3C23"/>
    <w:rsid w:val="000C451A"/>
    <w:rsid w:val="000D0002"/>
    <w:rsid w:val="000D0F15"/>
    <w:rsid w:val="000D18D9"/>
    <w:rsid w:val="000D381F"/>
    <w:rsid w:val="000D7DF8"/>
    <w:rsid w:val="000E308C"/>
    <w:rsid w:val="000E59BD"/>
    <w:rsid w:val="000F0357"/>
    <w:rsid w:val="001035A7"/>
    <w:rsid w:val="001047A5"/>
    <w:rsid w:val="00105235"/>
    <w:rsid w:val="001149B8"/>
    <w:rsid w:val="00114B7D"/>
    <w:rsid w:val="00116088"/>
    <w:rsid w:val="0013437A"/>
    <w:rsid w:val="00134F0C"/>
    <w:rsid w:val="001352E3"/>
    <w:rsid w:val="00135414"/>
    <w:rsid w:val="001432F8"/>
    <w:rsid w:val="0014778C"/>
    <w:rsid w:val="0015324B"/>
    <w:rsid w:val="00161ABB"/>
    <w:rsid w:val="001664B0"/>
    <w:rsid w:val="001708B3"/>
    <w:rsid w:val="0017473B"/>
    <w:rsid w:val="00175735"/>
    <w:rsid w:val="001878F6"/>
    <w:rsid w:val="00191813"/>
    <w:rsid w:val="00194675"/>
    <w:rsid w:val="00194F61"/>
    <w:rsid w:val="001A01FD"/>
    <w:rsid w:val="001A04DB"/>
    <w:rsid w:val="001A4E1D"/>
    <w:rsid w:val="001B21AA"/>
    <w:rsid w:val="001B2EA0"/>
    <w:rsid w:val="001C39E0"/>
    <w:rsid w:val="001C3A6C"/>
    <w:rsid w:val="001C6301"/>
    <w:rsid w:val="001C762A"/>
    <w:rsid w:val="001D2C5D"/>
    <w:rsid w:val="001D3078"/>
    <w:rsid w:val="001D4008"/>
    <w:rsid w:val="001D472D"/>
    <w:rsid w:val="001D545A"/>
    <w:rsid w:val="001E3502"/>
    <w:rsid w:val="001F4A05"/>
    <w:rsid w:val="0020627D"/>
    <w:rsid w:val="002162C9"/>
    <w:rsid w:val="0022454C"/>
    <w:rsid w:val="00224A43"/>
    <w:rsid w:val="002258E6"/>
    <w:rsid w:val="002274F0"/>
    <w:rsid w:val="00231C9B"/>
    <w:rsid w:val="00236D58"/>
    <w:rsid w:val="00240F90"/>
    <w:rsid w:val="00241BE0"/>
    <w:rsid w:val="00241F3E"/>
    <w:rsid w:val="00242CC5"/>
    <w:rsid w:val="00245FCB"/>
    <w:rsid w:val="00247171"/>
    <w:rsid w:val="00247860"/>
    <w:rsid w:val="00251B86"/>
    <w:rsid w:val="0025279C"/>
    <w:rsid w:val="00254338"/>
    <w:rsid w:val="002567E9"/>
    <w:rsid w:val="00263731"/>
    <w:rsid w:val="002664B0"/>
    <w:rsid w:val="00266627"/>
    <w:rsid w:val="00267D4F"/>
    <w:rsid w:val="00270BEE"/>
    <w:rsid w:val="00272230"/>
    <w:rsid w:val="00272EA7"/>
    <w:rsid w:val="002801DE"/>
    <w:rsid w:val="00281F5C"/>
    <w:rsid w:val="00285032"/>
    <w:rsid w:val="00286CC4"/>
    <w:rsid w:val="002A109F"/>
    <w:rsid w:val="002A3934"/>
    <w:rsid w:val="002A4337"/>
    <w:rsid w:val="002B0B80"/>
    <w:rsid w:val="002B1E80"/>
    <w:rsid w:val="002B6BE4"/>
    <w:rsid w:val="002D1C7B"/>
    <w:rsid w:val="002D22C5"/>
    <w:rsid w:val="002D4EAB"/>
    <w:rsid w:val="002D513F"/>
    <w:rsid w:val="002D5820"/>
    <w:rsid w:val="002E0F5C"/>
    <w:rsid w:val="002E19C8"/>
    <w:rsid w:val="002E39E9"/>
    <w:rsid w:val="00302385"/>
    <w:rsid w:val="00304DFF"/>
    <w:rsid w:val="003064E2"/>
    <w:rsid w:val="00311679"/>
    <w:rsid w:val="003130ED"/>
    <w:rsid w:val="00313482"/>
    <w:rsid w:val="00313BCF"/>
    <w:rsid w:val="0031448F"/>
    <w:rsid w:val="00314A42"/>
    <w:rsid w:val="003226C9"/>
    <w:rsid w:val="00322EFB"/>
    <w:rsid w:val="0032579D"/>
    <w:rsid w:val="003276E3"/>
    <w:rsid w:val="00337125"/>
    <w:rsid w:val="00337EB2"/>
    <w:rsid w:val="00341112"/>
    <w:rsid w:val="00342BFE"/>
    <w:rsid w:val="0034336F"/>
    <w:rsid w:val="00346E0E"/>
    <w:rsid w:val="00356E3A"/>
    <w:rsid w:val="00357AE8"/>
    <w:rsid w:val="003607FA"/>
    <w:rsid w:val="003613BF"/>
    <w:rsid w:val="003628A5"/>
    <w:rsid w:val="003674B9"/>
    <w:rsid w:val="00372D59"/>
    <w:rsid w:val="003801C6"/>
    <w:rsid w:val="00385613"/>
    <w:rsid w:val="00385DFF"/>
    <w:rsid w:val="003878A1"/>
    <w:rsid w:val="00395C62"/>
    <w:rsid w:val="003961F4"/>
    <w:rsid w:val="00396441"/>
    <w:rsid w:val="00396B86"/>
    <w:rsid w:val="00396ED7"/>
    <w:rsid w:val="003A0C58"/>
    <w:rsid w:val="003A1562"/>
    <w:rsid w:val="003A33B1"/>
    <w:rsid w:val="003A4F6D"/>
    <w:rsid w:val="003A56B9"/>
    <w:rsid w:val="003A7D23"/>
    <w:rsid w:val="003B1146"/>
    <w:rsid w:val="003B3F9D"/>
    <w:rsid w:val="003B4FFB"/>
    <w:rsid w:val="003B56FE"/>
    <w:rsid w:val="003B6177"/>
    <w:rsid w:val="003B66FE"/>
    <w:rsid w:val="003C5072"/>
    <w:rsid w:val="003C552E"/>
    <w:rsid w:val="003C658B"/>
    <w:rsid w:val="003D6C79"/>
    <w:rsid w:val="003E20DE"/>
    <w:rsid w:val="003E59C3"/>
    <w:rsid w:val="003E6DED"/>
    <w:rsid w:val="003F3BE1"/>
    <w:rsid w:val="003F3E05"/>
    <w:rsid w:val="0040122F"/>
    <w:rsid w:val="0040361B"/>
    <w:rsid w:val="00412797"/>
    <w:rsid w:val="00412F82"/>
    <w:rsid w:val="00414ACE"/>
    <w:rsid w:val="0041740A"/>
    <w:rsid w:val="00417C94"/>
    <w:rsid w:val="00422AD2"/>
    <w:rsid w:val="00426042"/>
    <w:rsid w:val="00427F46"/>
    <w:rsid w:val="00431973"/>
    <w:rsid w:val="00431BE2"/>
    <w:rsid w:val="00433590"/>
    <w:rsid w:val="004349B6"/>
    <w:rsid w:val="00436242"/>
    <w:rsid w:val="004379E4"/>
    <w:rsid w:val="00437E07"/>
    <w:rsid w:val="00441E8B"/>
    <w:rsid w:val="00443B48"/>
    <w:rsid w:val="00450305"/>
    <w:rsid w:val="00451434"/>
    <w:rsid w:val="0045763C"/>
    <w:rsid w:val="004577A1"/>
    <w:rsid w:val="0047484C"/>
    <w:rsid w:val="004759D5"/>
    <w:rsid w:val="0048025B"/>
    <w:rsid w:val="004845F3"/>
    <w:rsid w:val="004933AD"/>
    <w:rsid w:val="00496257"/>
    <w:rsid w:val="00496AE6"/>
    <w:rsid w:val="004A02C4"/>
    <w:rsid w:val="004A4415"/>
    <w:rsid w:val="004A5721"/>
    <w:rsid w:val="004A5AE9"/>
    <w:rsid w:val="004B09C3"/>
    <w:rsid w:val="004B171D"/>
    <w:rsid w:val="004B47D0"/>
    <w:rsid w:val="004C046C"/>
    <w:rsid w:val="004C5238"/>
    <w:rsid w:val="004C630F"/>
    <w:rsid w:val="004D17B3"/>
    <w:rsid w:val="004D5D4A"/>
    <w:rsid w:val="004D7D16"/>
    <w:rsid w:val="004E69BF"/>
    <w:rsid w:val="004E6DA5"/>
    <w:rsid w:val="004F2F17"/>
    <w:rsid w:val="004F3687"/>
    <w:rsid w:val="004F485A"/>
    <w:rsid w:val="004F4E91"/>
    <w:rsid w:val="0050312B"/>
    <w:rsid w:val="005101B6"/>
    <w:rsid w:val="005211FD"/>
    <w:rsid w:val="00521BC0"/>
    <w:rsid w:val="00522B9D"/>
    <w:rsid w:val="00524193"/>
    <w:rsid w:val="0053175E"/>
    <w:rsid w:val="005332F2"/>
    <w:rsid w:val="005335FB"/>
    <w:rsid w:val="00533D5C"/>
    <w:rsid w:val="0053799F"/>
    <w:rsid w:val="005405FE"/>
    <w:rsid w:val="005441FB"/>
    <w:rsid w:val="00544325"/>
    <w:rsid w:val="005467C1"/>
    <w:rsid w:val="0055242D"/>
    <w:rsid w:val="0056149E"/>
    <w:rsid w:val="00561A20"/>
    <w:rsid w:val="00562961"/>
    <w:rsid w:val="0056329E"/>
    <w:rsid w:val="00563CD2"/>
    <w:rsid w:val="005678DB"/>
    <w:rsid w:val="00571D0F"/>
    <w:rsid w:val="00574603"/>
    <w:rsid w:val="005764B8"/>
    <w:rsid w:val="00576877"/>
    <w:rsid w:val="005805B9"/>
    <w:rsid w:val="00581624"/>
    <w:rsid w:val="005836B9"/>
    <w:rsid w:val="005839B0"/>
    <w:rsid w:val="0058414B"/>
    <w:rsid w:val="0058489A"/>
    <w:rsid w:val="00584D83"/>
    <w:rsid w:val="00585AC9"/>
    <w:rsid w:val="00586834"/>
    <w:rsid w:val="00587F21"/>
    <w:rsid w:val="00593230"/>
    <w:rsid w:val="005951E1"/>
    <w:rsid w:val="00595D77"/>
    <w:rsid w:val="005A0179"/>
    <w:rsid w:val="005A5533"/>
    <w:rsid w:val="005A6D99"/>
    <w:rsid w:val="005B3499"/>
    <w:rsid w:val="005B3B26"/>
    <w:rsid w:val="005B7C0B"/>
    <w:rsid w:val="005C0D49"/>
    <w:rsid w:val="005C1AE9"/>
    <w:rsid w:val="005D4CF6"/>
    <w:rsid w:val="005D4DCD"/>
    <w:rsid w:val="005D5930"/>
    <w:rsid w:val="005D600F"/>
    <w:rsid w:val="005E2152"/>
    <w:rsid w:val="005E50B9"/>
    <w:rsid w:val="005F1C7C"/>
    <w:rsid w:val="005F2051"/>
    <w:rsid w:val="005F4707"/>
    <w:rsid w:val="006044AC"/>
    <w:rsid w:val="0060461B"/>
    <w:rsid w:val="006049A4"/>
    <w:rsid w:val="00604E3D"/>
    <w:rsid w:val="0061053F"/>
    <w:rsid w:val="006115F9"/>
    <w:rsid w:val="0061381F"/>
    <w:rsid w:val="00614515"/>
    <w:rsid w:val="00620F9E"/>
    <w:rsid w:val="0062194C"/>
    <w:rsid w:val="006321FA"/>
    <w:rsid w:val="0063275E"/>
    <w:rsid w:val="0063381A"/>
    <w:rsid w:val="006342D2"/>
    <w:rsid w:val="0063576B"/>
    <w:rsid w:val="00646342"/>
    <w:rsid w:val="00650932"/>
    <w:rsid w:val="00652DE6"/>
    <w:rsid w:val="00652E47"/>
    <w:rsid w:val="00655010"/>
    <w:rsid w:val="006555E1"/>
    <w:rsid w:val="00657413"/>
    <w:rsid w:val="00662350"/>
    <w:rsid w:val="006660A2"/>
    <w:rsid w:val="00667A32"/>
    <w:rsid w:val="006775BC"/>
    <w:rsid w:val="00680772"/>
    <w:rsid w:val="00683093"/>
    <w:rsid w:val="00694A39"/>
    <w:rsid w:val="00696086"/>
    <w:rsid w:val="0069670E"/>
    <w:rsid w:val="006A16D7"/>
    <w:rsid w:val="006B2306"/>
    <w:rsid w:val="006B35B6"/>
    <w:rsid w:val="006B71EB"/>
    <w:rsid w:val="006B7401"/>
    <w:rsid w:val="006C0C9D"/>
    <w:rsid w:val="006C16F6"/>
    <w:rsid w:val="006C6826"/>
    <w:rsid w:val="006D1A91"/>
    <w:rsid w:val="006D69F1"/>
    <w:rsid w:val="006E370A"/>
    <w:rsid w:val="006E5228"/>
    <w:rsid w:val="006F2003"/>
    <w:rsid w:val="00705C76"/>
    <w:rsid w:val="00711776"/>
    <w:rsid w:val="00714C9B"/>
    <w:rsid w:val="00714D77"/>
    <w:rsid w:val="00715D75"/>
    <w:rsid w:val="00716CC4"/>
    <w:rsid w:val="00717043"/>
    <w:rsid w:val="00721E8A"/>
    <w:rsid w:val="00722C16"/>
    <w:rsid w:val="00723EE1"/>
    <w:rsid w:val="00725094"/>
    <w:rsid w:val="00740724"/>
    <w:rsid w:val="0074212C"/>
    <w:rsid w:val="007516DF"/>
    <w:rsid w:val="00753B05"/>
    <w:rsid w:val="00754194"/>
    <w:rsid w:val="00756C33"/>
    <w:rsid w:val="00757085"/>
    <w:rsid w:val="0076142C"/>
    <w:rsid w:val="00763399"/>
    <w:rsid w:val="00765121"/>
    <w:rsid w:val="007655BA"/>
    <w:rsid w:val="00766CF3"/>
    <w:rsid w:val="00766F07"/>
    <w:rsid w:val="007722A5"/>
    <w:rsid w:val="00772899"/>
    <w:rsid w:val="00774F4F"/>
    <w:rsid w:val="00775387"/>
    <w:rsid w:val="0078463E"/>
    <w:rsid w:val="00787031"/>
    <w:rsid w:val="00790AB1"/>
    <w:rsid w:val="007A7C8B"/>
    <w:rsid w:val="007B116A"/>
    <w:rsid w:val="007B452D"/>
    <w:rsid w:val="007C1874"/>
    <w:rsid w:val="007C1BC9"/>
    <w:rsid w:val="007C38D8"/>
    <w:rsid w:val="007C5193"/>
    <w:rsid w:val="007D2FCE"/>
    <w:rsid w:val="007D3A8D"/>
    <w:rsid w:val="007D6290"/>
    <w:rsid w:val="007E2BF4"/>
    <w:rsid w:val="007E645E"/>
    <w:rsid w:val="007E697E"/>
    <w:rsid w:val="007F025B"/>
    <w:rsid w:val="007F35B3"/>
    <w:rsid w:val="007F4250"/>
    <w:rsid w:val="007F6BBA"/>
    <w:rsid w:val="007F776C"/>
    <w:rsid w:val="00800D19"/>
    <w:rsid w:val="00802DC6"/>
    <w:rsid w:val="00803E93"/>
    <w:rsid w:val="008057E0"/>
    <w:rsid w:val="00810AF0"/>
    <w:rsid w:val="00813E1A"/>
    <w:rsid w:val="00813F08"/>
    <w:rsid w:val="0081759F"/>
    <w:rsid w:val="0082094C"/>
    <w:rsid w:val="00822B54"/>
    <w:rsid w:val="00823897"/>
    <w:rsid w:val="00824C96"/>
    <w:rsid w:val="00830A34"/>
    <w:rsid w:val="008334AD"/>
    <w:rsid w:val="00833FC2"/>
    <w:rsid w:val="00834A1F"/>
    <w:rsid w:val="00834DAB"/>
    <w:rsid w:val="008350C5"/>
    <w:rsid w:val="00835CB9"/>
    <w:rsid w:val="00837305"/>
    <w:rsid w:val="00840115"/>
    <w:rsid w:val="00850BCC"/>
    <w:rsid w:val="0085297C"/>
    <w:rsid w:val="0085598F"/>
    <w:rsid w:val="00856B40"/>
    <w:rsid w:val="00857FDB"/>
    <w:rsid w:val="0086503D"/>
    <w:rsid w:val="00875FF6"/>
    <w:rsid w:val="00876B16"/>
    <w:rsid w:val="0088777B"/>
    <w:rsid w:val="00894277"/>
    <w:rsid w:val="008A5C89"/>
    <w:rsid w:val="008A619D"/>
    <w:rsid w:val="008B6B98"/>
    <w:rsid w:val="008C0241"/>
    <w:rsid w:val="008C2257"/>
    <w:rsid w:val="008C2C6B"/>
    <w:rsid w:val="008C3D68"/>
    <w:rsid w:val="008C757A"/>
    <w:rsid w:val="008D14E3"/>
    <w:rsid w:val="008D1ACB"/>
    <w:rsid w:val="008D1E81"/>
    <w:rsid w:val="008D287C"/>
    <w:rsid w:val="008D2B6F"/>
    <w:rsid w:val="008D6058"/>
    <w:rsid w:val="008E276E"/>
    <w:rsid w:val="008E5C46"/>
    <w:rsid w:val="008E63D6"/>
    <w:rsid w:val="008F37B1"/>
    <w:rsid w:val="008F3D88"/>
    <w:rsid w:val="009006EA"/>
    <w:rsid w:val="00901F13"/>
    <w:rsid w:val="00902B55"/>
    <w:rsid w:val="00902C51"/>
    <w:rsid w:val="0090605A"/>
    <w:rsid w:val="00907A9E"/>
    <w:rsid w:val="00910A61"/>
    <w:rsid w:val="00913EF9"/>
    <w:rsid w:val="00917724"/>
    <w:rsid w:val="00920371"/>
    <w:rsid w:val="00920694"/>
    <w:rsid w:val="00924348"/>
    <w:rsid w:val="00926135"/>
    <w:rsid w:val="009266A2"/>
    <w:rsid w:val="00951BAF"/>
    <w:rsid w:val="00952CED"/>
    <w:rsid w:val="00952FAC"/>
    <w:rsid w:val="009537F1"/>
    <w:rsid w:val="00953F86"/>
    <w:rsid w:val="009575CB"/>
    <w:rsid w:val="009607CD"/>
    <w:rsid w:val="00961D7D"/>
    <w:rsid w:val="009666EC"/>
    <w:rsid w:val="00966994"/>
    <w:rsid w:val="009701FE"/>
    <w:rsid w:val="0097083A"/>
    <w:rsid w:val="00971910"/>
    <w:rsid w:val="009720BE"/>
    <w:rsid w:val="009722EA"/>
    <w:rsid w:val="00972738"/>
    <w:rsid w:val="0097303E"/>
    <w:rsid w:val="00974279"/>
    <w:rsid w:val="0098015B"/>
    <w:rsid w:val="009852FE"/>
    <w:rsid w:val="00990273"/>
    <w:rsid w:val="009914C9"/>
    <w:rsid w:val="00996D72"/>
    <w:rsid w:val="009A4994"/>
    <w:rsid w:val="009A5DDF"/>
    <w:rsid w:val="009A79F1"/>
    <w:rsid w:val="009B438B"/>
    <w:rsid w:val="009C09C0"/>
    <w:rsid w:val="009C0A6D"/>
    <w:rsid w:val="009C1874"/>
    <w:rsid w:val="009C6847"/>
    <w:rsid w:val="009D2DD9"/>
    <w:rsid w:val="009E5A6A"/>
    <w:rsid w:val="009E670B"/>
    <w:rsid w:val="009F0492"/>
    <w:rsid w:val="009F3361"/>
    <w:rsid w:val="009F3519"/>
    <w:rsid w:val="009F399E"/>
    <w:rsid w:val="009F46EA"/>
    <w:rsid w:val="009F7931"/>
    <w:rsid w:val="00A014D3"/>
    <w:rsid w:val="00A0553E"/>
    <w:rsid w:val="00A061C0"/>
    <w:rsid w:val="00A104C3"/>
    <w:rsid w:val="00A11836"/>
    <w:rsid w:val="00A213BE"/>
    <w:rsid w:val="00A22471"/>
    <w:rsid w:val="00A24DB7"/>
    <w:rsid w:val="00A27A40"/>
    <w:rsid w:val="00A3099E"/>
    <w:rsid w:val="00A33453"/>
    <w:rsid w:val="00A425B0"/>
    <w:rsid w:val="00A447C3"/>
    <w:rsid w:val="00A57B7B"/>
    <w:rsid w:val="00A57C16"/>
    <w:rsid w:val="00A604D2"/>
    <w:rsid w:val="00A67382"/>
    <w:rsid w:val="00A67501"/>
    <w:rsid w:val="00A678F9"/>
    <w:rsid w:val="00A70EB3"/>
    <w:rsid w:val="00A72189"/>
    <w:rsid w:val="00A74051"/>
    <w:rsid w:val="00A758F0"/>
    <w:rsid w:val="00A846C6"/>
    <w:rsid w:val="00A900AD"/>
    <w:rsid w:val="00A90BCD"/>
    <w:rsid w:val="00A92601"/>
    <w:rsid w:val="00A95634"/>
    <w:rsid w:val="00AA05F8"/>
    <w:rsid w:val="00AA3DBB"/>
    <w:rsid w:val="00AA4BCF"/>
    <w:rsid w:val="00AB18A7"/>
    <w:rsid w:val="00AB2BCD"/>
    <w:rsid w:val="00AC3746"/>
    <w:rsid w:val="00AC50A0"/>
    <w:rsid w:val="00AC6C95"/>
    <w:rsid w:val="00AD06EE"/>
    <w:rsid w:val="00AD323C"/>
    <w:rsid w:val="00AE09FC"/>
    <w:rsid w:val="00AE14B5"/>
    <w:rsid w:val="00AE4A64"/>
    <w:rsid w:val="00AE79E0"/>
    <w:rsid w:val="00AF5C34"/>
    <w:rsid w:val="00B0139C"/>
    <w:rsid w:val="00B02DC4"/>
    <w:rsid w:val="00B063BC"/>
    <w:rsid w:val="00B17D1D"/>
    <w:rsid w:val="00B258EF"/>
    <w:rsid w:val="00B27996"/>
    <w:rsid w:val="00B31738"/>
    <w:rsid w:val="00B36068"/>
    <w:rsid w:val="00B40FBE"/>
    <w:rsid w:val="00B45416"/>
    <w:rsid w:val="00B45C17"/>
    <w:rsid w:val="00B533ED"/>
    <w:rsid w:val="00B61DD8"/>
    <w:rsid w:val="00B626BB"/>
    <w:rsid w:val="00B62952"/>
    <w:rsid w:val="00B6384D"/>
    <w:rsid w:val="00B778AC"/>
    <w:rsid w:val="00B855B8"/>
    <w:rsid w:val="00B872D9"/>
    <w:rsid w:val="00B87891"/>
    <w:rsid w:val="00B93091"/>
    <w:rsid w:val="00BA1D8F"/>
    <w:rsid w:val="00BB18E9"/>
    <w:rsid w:val="00BD4641"/>
    <w:rsid w:val="00BD690D"/>
    <w:rsid w:val="00BE1BA4"/>
    <w:rsid w:val="00BE2FF6"/>
    <w:rsid w:val="00BE6959"/>
    <w:rsid w:val="00BF2663"/>
    <w:rsid w:val="00BF2962"/>
    <w:rsid w:val="00BF31A9"/>
    <w:rsid w:val="00BF3F9F"/>
    <w:rsid w:val="00C01017"/>
    <w:rsid w:val="00C02168"/>
    <w:rsid w:val="00C10980"/>
    <w:rsid w:val="00C10A35"/>
    <w:rsid w:val="00C22E17"/>
    <w:rsid w:val="00C23A81"/>
    <w:rsid w:val="00C24ABE"/>
    <w:rsid w:val="00C25919"/>
    <w:rsid w:val="00C3309E"/>
    <w:rsid w:val="00C33B0C"/>
    <w:rsid w:val="00C40C55"/>
    <w:rsid w:val="00C46DE8"/>
    <w:rsid w:val="00C4712F"/>
    <w:rsid w:val="00C51C5B"/>
    <w:rsid w:val="00C52F1F"/>
    <w:rsid w:val="00C550D3"/>
    <w:rsid w:val="00C566F4"/>
    <w:rsid w:val="00C63DED"/>
    <w:rsid w:val="00C65543"/>
    <w:rsid w:val="00C70196"/>
    <w:rsid w:val="00C7056F"/>
    <w:rsid w:val="00C71B17"/>
    <w:rsid w:val="00C77AC6"/>
    <w:rsid w:val="00C80F4D"/>
    <w:rsid w:val="00C84E55"/>
    <w:rsid w:val="00CA11FE"/>
    <w:rsid w:val="00CA4084"/>
    <w:rsid w:val="00CA591C"/>
    <w:rsid w:val="00CB19FF"/>
    <w:rsid w:val="00CB7BE0"/>
    <w:rsid w:val="00CC1632"/>
    <w:rsid w:val="00CC4508"/>
    <w:rsid w:val="00CD30DC"/>
    <w:rsid w:val="00CD3C1D"/>
    <w:rsid w:val="00CD49D2"/>
    <w:rsid w:val="00CD73C4"/>
    <w:rsid w:val="00CF30AB"/>
    <w:rsid w:val="00CF4A47"/>
    <w:rsid w:val="00D04B97"/>
    <w:rsid w:val="00D0664C"/>
    <w:rsid w:val="00D1313B"/>
    <w:rsid w:val="00D20FC4"/>
    <w:rsid w:val="00D264EF"/>
    <w:rsid w:val="00D441D4"/>
    <w:rsid w:val="00D50CBF"/>
    <w:rsid w:val="00D5715E"/>
    <w:rsid w:val="00D57BEA"/>
    <w:rsid w:val="00D728C4"/>
    <w:rsid w:val="00D76672"/>
    <w:rsid w:val="00D7670F"/>
    <w:rsid w:val="00D7731B"/>
    <w:rsid w:val="00D82A8B"/>
    <w:rsid w:val="00D82C8A"/>
    <w:rsid w:val="00D85324"/>
    <w:rsid w:val="00D85874"/>
    <w:rsid w:val="00D87428"/>
    <w:rsid w:val="00D91CE9"/>
    <w:rsid w:val="00D93324"/>
    <w:rsid w:val="00D95112"/>
    <w:rsid w:val="00DA0EEB"/>
    <w:rsid w:val="00DA2CD7"/>
    <w:rsid w:val="00DA4BE9"/>
    <w:rsid w:val="00DB0E3B"/>
    <w:rsid w:val="00DB2ED5"/>
    <w:rsid w:val="00DB31F9"/>
    <w:rsid w:val="00DC4818"/>
    <w:rsid w:val="00DC71F4"/>
    <w:rsid w:val="00DD6C6E"/>
    <w:rsid w:val="00DE225D"/>
    <w:rsid w:val="00DE31C3"/>
    <w:rsid w:val="00DE3D1A"/>
    <w:rsid w:val="00DE7364"/>
    <w:rsid w:val="00DF6DA8"/>
    <w:rsid w:val="00E03126"/>
    <w:rsid w:val="00E07889"/>
    <w:rsid w:val="00E20FFF"/>
    <w:rsid w:val="00E23E59"/>
    <w:rsid w:val="00E24FA1"/>
    <w:rsid w:val="00E31D4F"/>
    <w:rsid w:val="00E344C6"/>
    <w:rsid w:val="00E43D14"/>
    <w:rsid w:val="00E53810"/>
    <w:rsid w:val="00E56935"/>
    <w:rsid w:val="00E600EC"/>
    <w:rsid w:val="00E675B6"/>
    <w:rsid w:val="00E72AFF"/>
    <w:rsid w:val="00E7461F"/>
    <w:rsid w:val="00E7759C"/>
    <w:rsid w:val="00E81A5D"/>
    <w:rsid w:val="00E82296"/>
    <w:rsid w:val="00E84790"/>
    <w:rsid w:val="00E904D6"/>
    <w:rsid w:val="00E91296"/>
    <w:rsid w:val="00E9246F"/>
    <w:rsid w:val="00E96DD9"/>
    <w:rsid w:val="00E97D7B"/>
    <w:rsid w:val="00EA2003"/>
    <w:rsid w:val="00EA2099"/>
    <w:rsid w:val="00EA54FA"/>
    <w:rsid w:val="00EB5647"/>
    <w:rsid w:val="00EB64C1"/>
    <w:rsid w:val="00EB6DF3"/>
    <w:rsid w:val="00ED4BC8"/>
    <w:rsid w:val="00EE2B9A"/>
    <w:rsid w:val="00EE3744"/>
    <w:rsid w:val="00EE4468"/>
    <w:rsid w:val="00EF14CC"/>
    <w:rsid w:val="00EF24C2"/>
    <w:rsid w:val="00EF7FE7"/>
    <w:rsid w:val="00F11E75"/>
    <w:rsid w:val="00F165E4"/>
    <w:rsid w:val="00F16A95"/>
    <w:rsid w:val="00F17820"/>
    <w:rsid w:val="00F25262"/>
    <w:rsid w:val="00F27DCB"/>
    <w:rsid w:val="00F30BF8"/>
    <w:rsid w:val="00F3175A"/>
    <w:rsid w:val="00F32BFD"/>
    <w:rsid w:val="00F36562"/>
    <w:rsid w:val="00F4038D"/>
    <w:rsid w:val="00F42B6F"/>
    <w:rsid w:val="00F47424"/>
    <w:rsid w:val="00F536FC"/>
    <w:rsid w:val="00F5542A"/>
    <w:rsid w:val="00F577BD"/>
    <w:rsid w:val="00F66304"/>
    <w:rsid w:val="00F670A1"/>
    <w:rsid w:val="00F67604"/>
    <w:rsid w:val="00F705F4"/>
    <w:rsid w:val="00F714C2"/>
    <w:rsid w:val="00F72900"/>
    <w:rsid w:val="00F72E6A"/>
    <w:rsid w:val="00F757C1"/>
    <w:rsid w:val="00F94F8B"/>
    <w:rsid w:val="00FA686B"/>
    <w:rsid w:val="00FA7EEA"/>
    <w:rsid w:val="00FB6E67"/>
    <w:rsid w:val="00FC13AB"/>
    <w:rsid w:val="00FC4FB5"/>
    <w:rsid w:val="00FD00AE"/>
    <w:rsid w:val="00FD0CE6"/>
    <w:rsid w:val="00FD14B9"/>
    <w:rsid w:val="00FD2AA1"/>
    <w:rsid w:val="00FE0D58"/>
    <w:rsid w:val="00FE219A"/>
    <w:rsid w:val="00FE4D34"/>
    <w:rsid w:val="00FE5456"/>
    <w:rsid w:val="00FE5EB6"/>
    <w:rsid w:val="00FE5F0C"/>
    <w:rsid w:val="00FE79F8"/>
    <w:rsid w:val="00FF00B6"/>
    <w:rsid w:val="00FF16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3605A"/>
  <w15:chartTrackingRefBased/>
  <w15:docId w15:val="{4CFFCB43-ADAB-497D-BBF6-20AE33E02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next w:val="Normal"/>
    <w:link w:val="Heading2Char"/>
    <w:uiPriority w:val="9"/>
    <w:unhideWhenUsed/>
    <w:qFormat/>
    <w:rsid w:val="00705C76"/>
    <w:pPr>
      <w:keepNext/>
      <w:keepLines/>
      <w:spacing w:after="0"/>
      <w:ind w:left="10" w:hanging="10"/>
      <w:outlineLvl w:val="1"/>
    </w:pPr>
    <w:rPr>
      <w:rFonts w:ascii="Calibri" w:eastAsia="Calibri" w:hAnsi="Calibri" w:cs="Calibri"/>
      <w:color w:val="595959"/>
      <w:sz w:val="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64E2"/>
    <w:pPr>
      <w:ind w:left="720"/>
      <w:contextualSpacing/>
    </w:pPr>
    <w:rPr>
      <w:lang w:val="en-CA"/>
    </w:rPr>
  </w:style>
  <w:style w:type="table" w:customStyle="1" w:styleId="TableGrid">
    <w:name w:val="TableGrid"/>
    <w:rsid w:val="0069670E"/>
    <w:pPr>
      <w:spacing w:after="0" w:line="240" w:lineRule="auto"/>
    </w:pPr>
    <w:rPr>
      <w:rFonts w:eastAsiaTheme="minorEastAsia"/>
    </w:rPr>
    <w:tblPr>
      <w:tblCellMar>
        <w:top w:w="0" w:type="dxa"/>
        <w:left w:w="0" w:type="dxa"/>
        <w:bottom w:w="0" w:type="dxa"/>
        <w:right w:w="0" w:type="dxa"/>
      </w:tblCellMar>
    </w:tblPr>
  </w:style>
  <w:style w:type="character" w:customStyle="1" w:styleId="Heading2Char">
    <w:name w:val="Heading 2 Char"/>
    <w:basedOn w:val="DefaultParagraphFont"/>
    <w:link w:val="Heading2"/>
    <w:uiPriority w:val="9"/>
    <w:rsid w:val="00705C76"/>
    <w:rPr>
      <w:rFonts w:ascii="Calibri" w:eastAsia="Calibri" w:hAnsi="Calibri" w:cs="Calibri"/>
      <w:color w:val="595959"/>
      <w:sz w:val="60"/>
    </w:rPr>
  </w:style>
  <w:style w:type="paragraph" w:customStyle="1" w:styleId="pf0">
    <w:name w:val="pf0"/>
    <w:basedOn w:val="Normal"/>
    <w:rsid w:val="00F4742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F4742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760247">
      <w:bodyDiv w:val="1"/>
      <w:marLeft w:val="0"/>
      <w:marRight w:val="0"/>
      <w:marTop w:val="0"/>
      <w:marBottom w:val="0"/>
      <w:divBdr>
        <w:top w:val="none" w:sz="0" w:space="0" w:color="auto"/>
        <w:left w:val="none" w:sz="0" w:space="0" w:color="auto"/>
        <w:bottom w:val="none" w:sz="0" w:space="0" w:color="auto"/>
        <w:right w:val="none" w:sz="0" w:space="0" w:color="auto"/>
      </w:divBdr>
    </w:div>
    <w:div w:id="437607401">
      <w:bodyDiv w:val="1"/>
      <w:marLeft w:val="0"/>
      <w:marRight w:val="0"/>
      <w:marTop w:val="0"/>
      <w:marBottom w:val="0"/>
      <w:divBdr>
        <w:top w:val="none" w:sz="0" w:space="0" w:color="auto"/>
        <w:left w:val="none" w:sz="0" w:space="0" w:color="auto"/>
        <w:bottom w:val="none" w:sz="0" w:space="0" w:color="auto"/>
        <w:right w:val="none" w:sz="0" w:space="0" w:color="auto"/>
      </w:divBdr>
    </w:div>
    <w:div w:id="505294040">
      <w:bodyDiv w:val="1"/>
      <w:marLeft w:val="0"/>
      <w:marRight w:val="0"/>
      <w:marTop w:val="0"/>
      <w:marBottom w:val="0"/>
      <w:divBdr>
        <w:top w:val="none" w:sz="0" w:space="0" w:color="auto"/>
        <w:left w:val="none" w:sz="0" w:space="0" w:color="auto"/>
        <w:bottom w:val="none" w:sz="0" w:space="0" w:color="auto"/>
        <w:right w:val="none" w:sz="0" w:space="0" w:color="auto"/>
      </w:divBdr>
    </w:div>
    <w:div w:id="535314017">
      <w:bodyDiv w:val="1"/>
      <w:marLeft w:val="0"/>
      <w:marRight w:val="0"/>
      <w:marTop w:val="0"/>
      <w:marBottom w:val="0"/>
      <w:divBdr>
        <w:top w:val="none" w:sz="0" w:space="0" w:color="auto"/>
        <w:left w:val="none" w:sz="0" w:space="0" w:color="auto"/>
        <w:bottom w:val="none" w:sz="0" w:space="0" w:color="auto"/>
        <w:right w:val="none" w:sz="0" w:space="0" w:color="auto"/>
      </w:divBdr>
    </w:div>
    <w:div w:id="735857330">
      <w:bodyDiv w:val="1"/>
      <w:marLeft w:val="0"/>
      <w:marRight w:val="0"/>
      <w:marTop w:val="0"/>
      <w:marBottom w:val="0"/>
      <w:divBdr>
        <w:top w:val="none" w:sz="0" w:space="0" w:color="auto"/>
        <w:left w:val="none" w:sz="0" w:space="0" w:color="auto"/>
        <w:bottom w:val="none" w:sz="0" w:space="0" w:color="auto"/>
        <w:right w:val="none" w:sz="0" w:space="0" w:color="auto"/>
      </w:divBdr>
    </w:div>
    <w:div w:id="873999604">
      <w:bodyDiv w:val="1"/>
      <w:marLeft w:val="0"/>
      <w:marRight w:val="0"/>
      <w:marTop w:val="0"/>
      <w:marBottom w:val="0"/>
      <w:divBdr>
        <w:top w:val="none" w:sz="0" w:space="0" w:color="auto"/>
        <w:left w:val="none" w:sz="0" w:space="0" w:color="auto"/>
        <w:bottom w:val="none" w:sz="0" w:space="0" w:color="auto"/>
        <w:right w:val="none" w:sz="0" w:space="0" w:color="auto"/>
      </w:divBdr>
    </w:div>
    <w:div w:id="919098918">
      <w:bodyDiv w:val="1"/>
      <w:marLeft w:val="0"/>
      <w:marRight w:val="0"/>
      <w:marTop w:val="0"/>
      <w:marBottom w:val="0"/>
      <w:divBdr>
        <w:top w:val="none" w:sz="0" w:space="0" w:color="auto"/>
        <w:left w:val="none" w:sz="0" w:space="0" w:color="auto"/>
        <w:bottom w:val="none" w:sz="0" w:space="0" w:color="auto"/>
        <w:right w:val="none" w:sz="0" w:space="0" w:color="auto"/>
      </w:divBdr>
    </w:div>
    <w:div w:id="947394387">
      <w:bodyDiv w:val="1"/>
      <w:marLeft w:val="0"/>
      <w:marRight w:val="0"/>
      <w:marTop w:val="0"/>
      <w:marBottom w:val="0"/>
      <w:divBdr>
        <w:top w:val="none" w:sz="0" w:space="0" w:color="auto"/>
        <w:left w:val="none" w:sz="0" w:space="0" w:color="auto"/>
        <w:bottom w:val="none" w:sz="0" w:space="0" w:color="auto"/>
        <w:right w:val="none" w:sz="0" w:space="0" w:color="auto"/>
      </w:divBdr>
    </w:div>
    <w:div w:id="1134758411">
      <w:bodyDiv w:val="1"/>
      <w:marLeft w:val="0"/>
      <w:marRight w:val="0"/>
      <w:marTop w:val="0"/>
      <w:marBottom w:val="0"/>
      <w:divBdr>
        <w:top w:val="none" w:sz="0" w:space="0" w:color="auto"/>
        <w:left w:val="none" w:sz="0" w:space="0" w:color="auto"/>
        <w:bottom w:val="none" w:sz="0" w:space="0" w:color="auto"/>
        <w:right w:val="none" w:sz="0" w:space="0" w:color="auto"/>
      </w:divBdr>
    </w:div>
    <w:div w:id="1287467622">
      <w:bodyDiv w:val="1"/>
      <w:marLeft w:val="0"/>
      <w:marRight w:val="0"/>
      <w:marTop w:val="0"/>
      <w:marBottom w:val="0"/>
      <w:divBdr>
        <w:top w:val="none" w:sz="0" w:space="0" w:color="auto"/>
        <w:left w:val="none" w:sz="0" w:space="0" w:color="auto"/>
        <w:bottom w:val="none" w:sz="0" w:space="0" w:color="auto"/>
        <w:right w:val="none" w:sz="0" w:space="0" w:color="auto"/>
      </w:divBdr>
    </w:div>
    <w:div w:id="1540901401">
      <w:bodyDiv w:val="1"/>
      <w:marLeft w:val="0"/>
      <w:marRight w:val="0"/>
      <w:marTop w:val="0"/>
      <w:marBottom w:val="0"/>
      <w:divBdr>
        <w:top w:val="none" w:sz="0" w:space="0" w:color="auto"/>
        <w:left w:val="none" w:sz="0" w:space="0" w:color="auto"/>
        <w:bottom w:val="none" w:sz="0" w:space="0" w:color="auto"/>
        <w:right w:val="none" w:sz="0" w:space="0" w:color="auto"/>
      </w:divBdr>
    </w:div>
    <w:div w:id="1868566726">
      <w:bodyDiv w:val="1"/>
      <w:marLeft w:val="0"/>
      <w:marRight w:val="0"/>
      <w:marTop w:val="0"/>
      <w:marBottom w:val="0"/>
      <w:divBdr>
        <w:top w:val="none" w:sz="0" w:space="0" w:color="auto"/>
        <w:left w:val="none" w:sz="0" w:space="0" w:color="auto"/>
        <w:bottom w:val="none" w:sz="0" w:space="0" w:color="auto"/>
        <w:right w:val="none" w:sz="0" w:space="0" w:color="auto"/>
      </w:divBdr>
    </w:div>
    <w:div w:id="1926837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977D8E-3D13-4A3C-918F-2AB036778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1116</TotalTime>
  <Pages>17</Pages>
  <Words>3388</Words>
  <Characters>19312</Characters>
  <Application>Microsoft Office Word</Application>
  <DocSecurity>0</DocSecurity>
  <Lines>160</Lines>
  <Paragraphs>45</Paragraphs>
  <ScaleCrop>false</ScaleCrop>
  <Company/>
  <LinksUpToDate>false</LinksUpToDate>
  <CharactersWithSpaces>22655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702</cp:revision>
  <dcterms:created xsi:type="dcterms:W3CDTF">2023-02-15T12:32:00Z</dcterms:created>
  <dcterms:modified xsi:type="dcterms:W3CDTF">2025-11-14T17:12:00Z</dcterms:modified>
</cp:coreProperties>
</file>