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E68913" w14:textId="77777777" w:rsidR="007C3366" w:rsidRPr="007C3366" w:rsidRDefault="007C3366" w:rsidP="007C3366">
      <w:pPr>
        <w:spacing w:after="0"/>
        <w:rPr>
          <w:rFonts w:ascii="Calibri" w:hAnsi="Calibri" w:cs="Calibri"/>
          <w:sz w:val="22"/>
          <w:szCs w:val="22"/>
        </w:rPr>
      </w:pPr>
      <w:r w:rsidRPr="007C3366">
        <w:rPr>
          <w:rFonts w:ascii="Calibri" w:hAnsi="Calibri" w:cs="Calibri"/>
          <w:b/>
          <w:bCs/>
          <w:sz w:val="22"/>
          <w:szCs w:val="22"/>
        </w:rPr>
        <w:t>From:</w:t>
      </w:r>
      <w:r w:rsidRPr="007C3366">
        <w:rPr>
          <w:rFonts w:ascii="Calibri" w:hAnsi="Calibri" w:cs="Calibri"/>
          <w:sz w:val="22"/>
          <w:szCs w:val="22"/>
        </w:rPr>
        <w:t xml:space="preserve"> Jim Cormier </w:t>
      </w:r>
      <w:r w:rsidRPr="007C3366">
        <w:rPr>
          <w:rFonts w:ascii="Calibri" w:hAnsi="Calibri" w:cs="Calibri"/>
          <w:sz w:val="22"/>
          <w:szCs w:val="22"/>
        </w:rPr>
        <w:br/>
      </w:r>
      <w:r w:rsidRPr="007C3366">
        <w:rPr>
          <w:rFonts w:ascii="Calibri" w:hAnsi="Calibri" w:cs="Calibri"/>
          <w:b/>
          <w:bCs/>
          <w:sz w:val="22"/>
          <w:szCs w:val="22"/>
        </w:rPr>
        <w:t>Sent:</w:t>
      </w:r>
      <w:r w:rsidRPr="007C3366">
        <w:rPr>
          <w:rFonts w:ascii="Calibri" w:hAnsi="Calibri" w:cs="Calibri"/>
          <w:sz w:val="22"/>
          <w:szCs w:val="22"/>
        </w:rPr>
        <w:t xml:space="preserve"> November 10, 2025 5:31 PM</w:t>
      </w:r>
      <w:r w:rsidRPr="007C3366">
        <w:rPr>
          <w:rFonts w:ascii="Calibri" w:hAnsi="Calibri" w:cs="Calibri"/>
          <w:sz w:val="22"/>
          <w:szCs w:val="22"/>
        </w:rPr>
        <w:br/>
      </w:r>
      <w:r w:rsidRPr="007C3366">
        <w:rPr>
          <w:rFonts w:ascii="Calibri" w:hAnsi="Calibri" w:cs="Calibri"/>
          <w:b/>
          <w:bCs/>
          <w:sz w:val="22"/>
          <w:szCs w:val="22"/>
        </w:rPr>
        <w:t>To:</w:t>
      </w:r>
      <w:r w:rsidRPr="007C3366">
        <w:rPr>
          <w:rFonts w:ascii="Calibri" w:hAnsi="Calibri" w:cs="Calibri"/>
          <w:sz w:val="22"/>
          <w:szCs w:val="22"/>
        </w:rPr>
        <w:t xml:space="preserve"> Carolina Aviles (</w:t>
      </w:r>
      <w:hyperlink r:id="rId5" w:history="1">
        <w:r w:rsidRPr="007C3366">
          <w:rPr>
            <w:rStyle w:val="Hyperlink"/>
            <w:rFonts w:ascii="Calibri" w:hAnsi="Calibri" w:cs="Calibri"/>
            <w:sz w:val="22"/>
            <w:szCs w:val="22"/>
          </w:rPr>
          <w:t>Carolina.Aviles@novascotia.ca</w:t>
        </w:r>
      </w:hyperlink>
      <w:r w:rsidRPr="007C3366">
        <w:rPr>
          <w:rFonts w:ascii="Calibri" w:hAnsi="Calibri" w:cs="Calibri"/>
          <w:sz w:val="22"/>
          <w:szCs w:val="22"/>
        </w:rPr>
        <w:t>) &lt;</w:t>
      </w:r>
      <w:hyperlink r:id="rId6" w:history="1">
        <w:r w:rsidRPr="007C3366">
          <w:rPr>
            <w:rStyle w:val="Hyperlink"/>
            <w:rFonts w:ascii="Calibri" w:hAnsi="Calibri" w:cs="Calibri"/>
            <w:sz w:val="22"/>
            <w:szCs w:val="22"/>
          </w:rPr>
          <w:t>Carolina.Aviles@novascotia.ca</w:t>
        </w:r>
      </w:hyperlink>
      <w:r w:rsidRPr="007C3366">
        <w:rPr>
          <w:rFonts w:ascii="Calibri" w:hAnsi="Calibri" w:cs="Calibri"/>
          <w:sz w:val="22"/>
          <w:szCs w:val="22"/>
        </w:rPr>
        <w:t>&gt;</w:t>
      </w:r>
      <w:r w:rsidRPr="007C3366">
        <w:rPr>
          <w:rFonts w:ascii="Calibri" w:hAnsi="Calibri" w:cs="Calibri"/>
          <w:sz w:val="22"/>
          <w:szCs w:val="22"/>
        </w:rPr>
        <w:br/>
      </w:r>
      <w:r w:rsidRPr="007C3366">
        <w:rPr>
          <w:rFonts w:ascii="Calibri" w:hAnsi="Calibri" w:cs="Calibri"/>
          <w:b/>
          <w:bCs/>
          <w:sz w:val="22"/>
          <w:szCs w:val="22"/>
        </w:rPr>
        <w:t>Subject:</w:t>
      </w:r>
      <w:r w:rsidRPr="007C3366">
        <w:rPr>
          <w:rFonts w:ascii="Calibri" w:hAnsi="Calibri" w:cs="Calibri"/>
          <w:sz w:val="22"/>
          <w:szCs w:val="22"/>
        </w:rPr>
        <w:t xml:space="preserve"> Request from RCC re Flexible Packaging.</w:t>
      </w:r>
    </w:p>
    <w:p w14:paraId="3925678F"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 </w:t>
      </w:r>
    </w:p>
    <w:p w14:paraId="6B02A1A1"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Carolina,</w:t>
      </w:r>
    </w:p>
    <w:p w14:paraId="5EFF7EAB"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w:t>
      </w:r>
    </w:p>
    <w:p w14:paraId="0AAB5698"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xml:space="preserve">Thanks for taking the time to chat with me last week regarding industry concerns on flexible packaging targets in the upcoming extended producer responsibility program (EPR) for packaging and paper products (PPP). As requested, RCC would like Minister Halman to change the Ministerial requirement for the recovery of flexible plastics in the upcoming PPP program. As Producer Responsibility Organizations (PROs) and governments are better understanding the challenges in properly stewarding products like flexible packaging, realizing that the current recovery targets are overly ambitious and not technically achievable. For instance, the PPP program targets in Ontario and New Brunswick were recently reviewed and as a result, the flexible packaging recovery targets will move to 10% (see Ontario targets below) and 4% respectively (pending approval from Recycle NB).  </w:t>
      </w:r>
    </w:p>
    <w:p w14:paraId="6A25AAFB"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w:t>
      </w:r>
    </w:p>
    <w:p w14:paraId="421D4E01"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xml:space="preserve">Ontario’s revision to flexible plastic targets followed a comprehensive review acknowledging that previous targets were not supported by technical data or verified recovery performance. The province’s regulator (RPRA) currently lacks standardized data on recycled and marketed </w:t>
      </w:r>
      <w:proofErr w:type="spellStart"/>
      <w:r w:rsidRPr="007C3366">
        <w:rPr>
          <w:rFonts w:ascii="Calibri" w:hAnsi="Calibri" w:cs="Calibri"/>
          <w:sz w:val="22"/>
          <w:szCs w:val="22"/>
        </w:rPr>
        <w:t>tonnes</w:t>
      </w:r>
      <w:proofErr w:type="spellEnd"/>
      <w:r w:rsidRPr="007C3366">
        <w:rPr>
          <w:rFonts w:ascii="Calibri" w:hAnsi="Calibri" w:cs="Calibri"/>
          <w:sz w:val="22"/>
          <w:szCs w:val="22"/>
        </w:rPr>
        <w:t>, underscoring that even Ontario’s 10% target is a best estimate, not an evidence-based benchmark. Setting a 30% target in Nova Scotia corresponding baseline data, or accounting for infrastructure, technological and financial realities, would be an unsubstantiated approach with a high risk of failure.</w:t>
      </w:r>
    </w:p>
    <w:p w14:paraId="794648A3"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w:t>
      </w:r>
    </w:p>
    <w:p w14:paraId="185D91F9"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In recent days, RCC has met with senior representatives with CM and with Food, Health and Consumer Products of Canada (FHCP) on this issue. The general consensus is that Minister Halman’s Ministerial standard of ‘best efforts’ to meet a recovery target of 30% by 2026/27 will be impossible to achieve. Furthermore, the targets of 40% by 2030 and 50% (plus an additional 5% every 5 years) beginning in 2035 are simply unachievable goals. No jurisdiction globally has met such recovery rates. For context, we would encourage the Minister to consider the significantly lower targets in New Brunswick and Ontario and to benchmark against other recycling markets. For example, even the most advanced and mature recycling systems internationally, like Germany’s, achieve only a 17% recovery rate for flexible packaging due to limitations in current sorting, recycling technologies and end markets.</w:t>
      </w:r>
    </w:p>
    <w:p w14:paraId="58B5C191"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w:t>
      </w:r>
    </w:p>
    <w:p w14:paraId="4FCFB5C9"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b/>
          <w:bCs/>
          <w:sz w:val="22"/>
          <w:szCs w:val="22"/>
          <w:u w:val="single"/>
        </w:rPr>
        <w:t>RCC request:</w:t>
      </w:r>
      <w:r w:rsidRPr="007C3366">
        <w:rPr>
          <w:rFonts w:ascii="Calibri" w:hAnsi="Calibri" w:cs="Calibri"/>
          <w:sz w:val="22"/>
          <w:szCs w:val="22"/>
        </w:rPr>
        <w:t xml:space="preserve"> </w:t>
      </w:r>
      <w:r w:rsidRPr="007C3366">
        <w:rPr>
          <w:rFonts w:ascii="Calibri" w:hAnsi="Calibri" w:cs="Calibri"/>
          <w:b/>
          <w:bCs/>
          <w:i/>
          <w:iCs/>
          <w:sz w:val="22"/>
          <w:szCs w:val="22"/>
        </w:rPr>
        <w:t>In the interest of harmonization, RCC asks that the Minister align Nova Scotia’s target with Circular Material (CM)’s newly revised target in its stewardship plan in New Brunswick.  The New Brunswick standard will set a baseline target for the recovery of flexible plastics at 4%. Over time, the New Brunswick program will be able to review its collection data regarding flexible plastics. Following such a review, new targets could be set, taking into account technological advancements, end-market development, and the costs associated with scaling new recycling infrastructure.</w:t>
      </w:r>
    </w:p>
    <w:p w14:paraId="6E7DBF40"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 </w:t>
      </w:r>
    </w:p>
    <w:p w14:paraId="691EF548"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b/>
          <w:bCs/>
          <w:sz w:val="22"/>
          <w:szCs w:val="22"/>
          <w:u w:val="single"/>
        </w:rPr>
        <w:lastRenderedPageBreak/>
        <w:t>Background Information re Ontario:</w:t>
      </w:r>
    </w:p>
    <w:p w14:paraId="63B4AEE2" w14:textId="77777777" w:rsidR="007C3366" w:rsidRPr="007C3366" w:rsidRDefault="007C3366" w:rsidP="007C3366">
      <w:pPr>
        <w:spacing w:after="0"/>
        <w:jc w:val="both"/>
        <w:rPr>
          <w:rFonts w:ascii="Calibri" w:hAnsi="Calibri" w:cs="Calibri"/>
          <w:sz w:val="22"/>
          <w:szCs w:val="22"/>
        </w:rPr>
      </w:pPr>
      <w:r w:rsidRPr="007C3366">
        <w:rPr>
          <w:rFonts w:ascii="Calibri" w:hAnsi="Calibri" w:cs="Calibri"/>
          <w:sz w:val="22"/>
          <w:szCs w:val="22"/>
        </w:rPr>
        <w:t>Revised targets: phasing in recovery targets for flexible plastics, starting at 10% in 2026–27 (target was 25%), increasing to 15% in 2028–31, and reaching 25% (target was 40%) in 2032 and onward.</w:t>
      </w:r>
    </w:p>
    <w:p w14:paraId="75E1D576" w14:textId="1681D1F5" w:rsidR="004C0D34" w:rsidRDefault="007C3366" w:rsidP="007C3366">
      <w:pPr>
        <w:spacing w:after="0"/>
        <w:rPr>
          <w:rFonts w:ascii="Calibri" w:hAnsi="Calibri" w:cs="Calibri"/>
          <w:sz w:val="22"/>
          <w:szCs w:val="22"/>
        </w:rPr>
      </w:pPr>
      <w:r w:rsidRPr="007C3366">
        <w:rPr>
          <w:rFonts w:ascii="Calibri" w:hAnsi="Calibri" w:cs="Calibri"/>
          <w:sz w:val="22"/>
          <w:szCs w:val="22"/>
        </w:rPr>
        <w:t> </w:t>
      </w:r>
    </w:p>
    <w:p w14:paraId="4CF456D6" w14:textId="2151C441" w:rsidR="004C0D34" w:rsidRPr="004C0D34" w:rsidRDefault="004C0D34" w:rsidP="004C0D34">
      <w:pPr>
        <w:spacing w:after="0"/>
        <w:rPr>
          <w:rFonts w:ascii="Calibri" w:hAnsi="Calibri" w:cs="Calibri"/>
          <w:sz w:val="22"/>
          <w:szCs w:val="22"/>
        </w:rPr>
      </w:pPr>
      <w:r w:rsidRPr="004C0D34">
        <w:rPr>
          <w:rFonts w:ascii="Calibri" w:hAnsi="Calibri" w:cs="Calibri"/>
          <w:b/>
          <w:bCs/>
          <w:sz w:val="22"/>
          <w:szCs w:val="22"/>
          <w:u w:val="single"/>
        </w:rPr>
        <w:t>RCC NOTES:</w:t>
      </w:r>
    </w:p>
    <w:p w14:paraId="54B42921" w14:textId="77777777" w:rsidR="004C0D34" w:rsidRPr="004C0D34" w:rsidRDefault="004C0D34" w:rsidP="004C0D34">
      <w:pPr>
        <w:spacing w:after="0"/>
        <w:rPr>
          <w:rFonts w:ascii="Calibri" w:hAnsi="Calibri" w:cs="Calibri"/>
          <w:sz w:val="22"/>
          <w:szCs w:val="22"/>
        </w:rPr>
      </w:pPr>
      <w:r w:rsidRPr="004C0D34">
        <w:rPr>
          <w:rFonts w:ascii="Calibri" w:hAnsi="Calibri" w:cs="Calibri"/>
          <w:b/>
          <w:bCs/>
          <w:sz w:val="22"/>
          <w:szCs w:val="22"/>
          <w:u w:val="single"/>
        </w:rPr>
        <w:t>Current Ministerial Standard for Nova Scotia:</w:t>
      </w:r>
    </w:p>
    <w:p w14:paraId="1E9ACB94" w14:textId="77777777" w:rsidR="004C0D34" w:rsidRPr="004C0D34" w:rsidRDefault="004C0D34" w:rsidP="004C0D34">
      <w:pPr>
        <w:spacing w:after="0"/>
        <w:rPr>
          <w:rFonts w:ascii="Calibri" w:hAnsi="Calibri" w:cs="Calibri"/>
          <w:sz w:val="22"/>
          <w:szCs w:val="22"/>
        </w:rPr>
      </w:pPr>
      <w:r w:rsidRPr="004C0D34">
        <w:rPr>
          <w:rFonts w:ascii="Calibri" w:hAnsi="Calibri" w:cs="Calibri"/>
          <w:sz w:val="22"/>
          <w:szCs w:val="22"/>
        </w:rPr>
        <w:t>NS Materials targets for flexible packaging are as follows:</w:t>
      </w:r>
    </w:p>
    <w:p w14:paraId="3380B885" w14:textId="77777777" w:rsidR="004C0D34" w:rsidRPr="004C0D34" w:rsidRDefault="004C0D34" w:rsidP="004C0D34">
      <w:pPr>
        <w:numPr>
          <w:ilvl w:val="0"/>
          <w:numId w:val="1"/>
        </w:numPr>
        <w:spacing w:after="0"/>
        <w:rPr>
          <w:rFonts w:ascii="Calibri" w:hAnsi="Calibri" w:cs="Calibri"/>
          <w:sz w:val="22"/>
          <w:szCs w:val="22"/>
        </w:rPr>
      </w:pPr>
      <w:r w:rsidRPr="004C0D34">
        <w:rPr>
          <w:rFonts w:ascii="Calibri" w:hAnsi="Calibri" w:cs="Calibri"/>
          <w:sz w:val="22"/>
          <w:szCs w:val="22"/>
        </w:rPr>
        <w:t>2026/27: Best Efforts to meet 30%</w:t>
      </w:r>
    </w:p>
    <w:p w14:paraId="6C33924B" w14:textId="77777777" w:rsidR="004C0D34" w:rsidRPr="004C0D34" w:rsidRDefault="004C0D34" w:rsidP="004C0D34">
      <w:pPr>
        <w:numPr>
          <w:ilvl w:val="0"/>
          <w:numId w:val="1"/>
        </w:numPr>
        <w:spacing w:after="0"/>
        <w:rPr>
          <w:rFonts w:ascii="Calibri" w:hAnsi="Calibri" w:cs="Calibri"/>
          <w:sz w:val="22"/>
          <w:szCs w:val="22"/>
        </w:rPr>
      </w:pPr>
      <w:r w:rsidRPr="004C0D34">
        <w:rPr>
          <w:rFonts w:ascii="Calibri" w:hAnsi="Calibri" w:cs="Calibri"/>
          <w:sz w:val="22"/>
          <w:szCs w:val="22"/>
        </w:rPr>
        <w:t>2028/29: 30%</w:t>
      </w:r>
    </w:p>
    <w:p w14:paraId="11802822" w14:textId="77777777" w:rsidR="004C0D34" w:rsidRPr="004C0D34" w:rsidRDefault="004C0D34" w:rsidP="004C0D34">
      <w:pPr>
        <w:numPr>
          <w:ilvl w:val="0"/>
          <w:numId w:val="1"/>
        </w:numPr>
        <w:spacing w:after="0"/>
        <w:rPr>
          <w:rFonts w:ascii="Calibri" w:hAnsi="Calibri" w:cs="Calibri"/>
          <w:sz w:val="22"/>
          <w:szCs w:val="22"/>
        </w:rPr>
      </w:pPr>
      <w:r w:rsidRPr="004C0D34">
        <w:rPr>
          <w:rFonts w:ascii="Calibri" w:hAnsi="Calibri" w:cs="Calibri"/>
          <w:sz w:val="22"/>
          <w:szCs w:val="22"/>
        </w:rPr>
        <w:t>2030: 40%</w:t>
      </w:r>
    </w:p>
    <w:p w14:paraId="7C904E94" w14:textId="77777777" w:rsidR="004C0D34" w:rsidRPr="004C0D34" w:rsidRDefault="004C0D34" w:rsidP="004C0D34">
      <w:pPr>
        <w:numPr>
          <w:ilvl w:val="0"/>
          <w:numId w:val="1"/>
        </w:numPr>
        <w:spacing w:after="0"/>
        <w:rPr>
          <w:rFonts w:ascii="Calibri" w:hAnsi="Calibri" w:cs="Calibri"/>
          <w:sz w:val="22"/>
          <w:szCs w:val="22"/>
        </w:rPr>
      </w:pPr>
      <w:r w:rsidRPr="004C0D34">
        <w:rPr>
          <w:rFonts w:ascii="Calibri" w:hAnsi="Calibri" w:cs="Calibri"/>
          <w:sz w:val="22"/>
          <w:szCs w:val="22"/>
        </w:rPr>
        <w:t>2035 onward: 50% plus 5% every 5 years thereafter until 85% achieved</w:t>
      </w:r>
    </w:p>
    <w:p w14:paraId="361F5B87" w14:textId="77777777" w:rsidR="004C0D34" w:rsidRPr="007C3366" w:rsidRDefault="004C0D34" w:rsidP="007C3366">
      <w:pPr>
        <w:spacing w:after="0"/>
        <w:rPr>
          <w:rFonts w:ascii="Calibri" w:hAnsi="Calibri" w:cs="Calibri"/>
          <w:sz w:val="22"/>
          <w:szCs w:val="22"/>
        </w:rPr>
      </w:pPr>
    </w:p>
    <w:p w14:paraId="6E09F5A7" w14:textId="77777777" w:rsidR="007C3366" w:rsidRPr="007C3366" w:rsidRDefault="007C3366" w:rsidP="007C3366">
      <w:pPr>
        <w:spacing w:after="0"/>
        <w:rPr>
          <w:rFonts w:ascii="Calibri" w:hAnsi="Calibri" w:cs="Calibri"/>
          <w:sz w:val="22"/>
          <w:szCs w:val="22"/>
        </w:rPr>
      </w:pPr>
      <w:r w:rsidRPr="007C3366">
        <w:rPr>
          <w:rFonts w:ascii="Calibri" w:hAnsi="Calibri" w:cs="Calibri"/>
          <w:b/>
          <w:bCs/>
          <w:sz w:val="22"/>
          <w:szCs w:val="22"/>
        </w:rPr>
        <w:t>Jim Cormier (He/Him)</w:t>
      </w:r>
    </w:p>
    <w:p w14:paraId="0F220759"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Atlantic Director</w:t>
      </w:r>
    </w:p>
    <w:p w14:paraId="2780A897"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 </w:t>
      </w:r>
    </w:p>
    <w:p w14:paraId="0DD078BB" w14:textId="77777777" w:rsidR="007C3366" w:rsidRPr="007C3366" w:rsidRDefault="007C3366" w:rsidP="007C3366">
      <w:pPr>
        <w:spacing w:after="0"/>
        <w:rPr>
          <w:rFonts w:ascii="Calibri" w:hAnsi="Calibri" w:cs="Calibri"/>
          <w:sz w:val="22"/>
          <w:szCs w:val="22"/>
        </w:rPr>
      </w:pPr>
      <w:r w:rsidRPr="007C3366">
        <w:rPr>
          <w:rFonts w:ascii="Calibri" w:hAnsi="Calibri" w:cs="Calibri"/>
          <w:b/>
          <w:bCs/>
          <w:sz w:val="22"/>
          <w:szCs w:val="22"/>
        </w:rPr>
        <w:t>RETAIL COUNCIL OF CANADA | CONSEIL CANADIEN DU COMMERCE DE DÉTAIL</w:t>
      </w:r>
      <w:r w:rsidRPr="007C3366">
        <w:rPr>
          <w:rFonts w:ascii="Calibri" w:hAnsi="Calibri" w:cs="Calibri"/>
          <w:sz w:val="22"/>
          <w:szCs w:val="22"/>
        </w:rPr>
        <w:t> </w:t>
      </w:r>
    </w:p>
    <w:p w14:paraId="11B4698A"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PO Box 28051, Tacoma PO, Dartmouth, NS B2W 6E2 </w:t>
      </w:r>
    </w:p>
    <w:p w14:paraId="5141912C"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Cell : 902-818-7738</w:t>
      </w:r>
    </w:p>
    <w:p w14:paraId="5B6B2E1B" w14:textId="77777777" w:rsidR="007C3366" w:rsidRPr="007C3366" w:rsidRDefault="007C3366" w:rsidP="007C3366">
      <w:pPr>
        <w:spacing w:after="0"/>
        <w:rPr>
          <w:rFonts w:ascii="Calibri" w:hAnsi="Calibri" w:cs="Calibri"/>
          <w:sz w:val="22"/>
          <w:szCs w:val="22"/>
        </w:rPr>
      </w:pPr>
      <w:hyperlink r:id="rId7" w:tgtFrame="_blank" w:history="1">
        <w:r w:rsidRPr="007C3366">
          <w:rPr>
            <w:rStyle w:val="Hyperlink"/>
            <w:rFonts w:ascii="Calibri" w:hAnsi="Calibri" w:cs="Calibri"/>
            <w:sz w:val="22"/>
            <w:szCs w:val="22"/>
          </w:rPr>
          <w:t>RetailCouncil.org</w:t>
        </w:r>
      </w:hyperlink>
      <w:r w:rsidRPr="007C3366">
        <w:rPr>
          <w:rFonts w:ascii="Calibri" w:hAnsi="Calibri" w:cs="Calibri"/>
          <w:sz w:val="22"/>
          <w:szCs w:val="22"/>
        </w:rPr>
        <w:t> | </w:t>
      </w:r>
      <w:hyperlink r:id="rId8" w:tgtFrame="_blank" w:history="1">
        <w:r w:rsidRPr="007C3366">
          <w:rPr>
            <w:rStyle w:val="Hyperlink"/>
            <w:rFonts w:ascii="Calibri" w:hAnsi="Calibri" w:cs="Calibri"/>
            <w:sz w:val="22"/>
            <w:szCs w:val="22"/>
          </w:rPr>
          <w:t>Twitter</w:t>
        </w:r>
      </w:hyperlink>
      <w:r w:rsidRPr="007C3366">
        <w:rPr>
          <w:rFonts w:ascii="Calibri" w:hAnsi="Calibri" w:cs="Calibri"/>
          <w:sz w:val="22"/>
          <w:szCs w:val="22"/>
        </w:rPr>
        <w:t> | </w:t>
      </w:r>
      <w:hyperlink r:id="rId9" w:tgtFrame="_blank" w:history="1">
        <w:r w:rsidRPr="007C3366">
          <w:rPr>
            <w:rStyle w:val="Hyperlink"/>
            <w:rFonts w:ascii="Calibri" w:hAnsi="Calibri" w:cs="Calibri"/>
            <w:sz w:val="22"/>
            <w:szCs w:val="22"/>
          </w:rPr>
          <w:t>Facebook</w:t>
        </w:r>
      </w:hyperlink>
      <w:r w:rsidRPr="007C3366">
        <w:rPr>
          <w:rFonts w:ascii="Calibri" w:hAnsi="Calibri" w:cs="Calibri"/>
          <w:sz w:val="22"/>
          <w:szCs w:val="22"/>
        </w:rPr>
        <w:t> | </w:t>
      </w:r>
      <w:hyperlink r:id="rId10" w:tgtFrame="_blank" w:history="1">
        <w:r w:rsidRPr="007C3366">
          <w:rPr>
            <w:rStyle w:val="Hyperlink"/>
            <w:rFonts w:ascii="Calibri" w:hAnsi="Calibri" w:cs="Calibri"/>
            <w:sz w:val="22"/>
            <w:szCs w:val="22"/>
          </w:rPr>
          <w:t>LinkedIn</w:t>
        </w:r>
      </w:hyperlink>
      <w:r w:rsidRPr="007C3366">
        <w:rPr>
          <w:rFonts w:ascii="Calibri" w:hAnsi="Calibri" w:cs="Calibri"/>
          <w:sz w:val="22"/>
          <w:szCs w:val="22"/>
        </w:rPr>
        <w:t> </w:t>
      </w:r>
    </w:p>
    <w:p w14:paraId="39D4BBF1"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 </w:t>
      </w:r>
    </w:p>
    <w:p w14:paraId="313AE93D" w14:textId="77777777" w:rsidR="007C3366" w:rsidRPr="007C3366" w:rsidRDefault="007C3366" w:rsidP="007C3366">
      <w:pPr>
        <w:spacing w:after="0"/>
        <w:rPr>
          <w:rFonts w:ascii="Calibri" w:hAnsi="Calibri" w:cs="Calibri"/>
          <w:sz w:val="22"/>
          <w:szCs w:val="22"/>
        </w:rPr>
      </w:pPr>
      <w:r w:rsidRPr="007C3366">
        <w:rPr>
          <w:rFonts w:ascii="Calibri" w:hAnsi="Calibri" w:cs="Calibri"/>
          <w:sz w:val="22"/>
          <w:szCs w:val="22"/>
        </w:rPr>
        <w:t>Vancouver · Winnipeg · Toronto · Ottawa · Montréal · Halifax </w:t>
      </w:r>
    </w:p>
    <w:p w14:paraId="04A00096" w14:textId="77777777" w:rsidR="00910A82" w:rsidRPr="007C3366" w:rsidRDefault="00910A82">
      <w:pPr>
        <w:rPr>
          <w:rFonts w:ascii="Calibri" w:hAnsi="Calibri" w:cs="Calibri"/>
          <w:sz w:val="22"/>
          <w:szCs w:val="22"/>
        </w:rPr>
      </w:pPr>
    </w:p>
    <w:sectPr w:rsidR="00910A82" w:rsidRPr="007C33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A2E56"/>
    <w:multiLevelType w:val="multilevel"/>
    <w:tmpl w:val="C4F47C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212087928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021"/>
    <w:rsid w:val="001E42DF"/>
    <w:rsid w:val="001E6326"/>
    <w:rsid w:val="002F001B"/>
    <w:rsid w:val="00437021"/>
    <w:rsid w:val="004C0D34"/>
    <w:rsid w:val="007C3366"/>
    <w:rsid w:val="0082591D"/>
    <w:rsid w:val="00834C18"/>
    <w:rsid w:val="00910A82"/>
    <w:rsid w:val="0099269E"/>
    <w:rsid w:val="00AD2971"/>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AE67"/>
  <w15:chartTrackingRefBased/>
  <w15:docId w15:val="{3B88502C-9894-4170-8542-94D4DC62B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370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370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3702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3702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3702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370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370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370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3702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702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3702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3702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3702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3702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3702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3702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3702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37021"/>
    <w:rPr>
      <w:rFonts w:eastAsiaTheme="majorEastAsia" w:cstheme="majorBidi"/>
      <w:color w:val="272727" w:themeColor="text1" w:themeTint="D8"/>
    </w:rPr>
  </w:style>
  <w:style w:type="paragraph" w:styleId="Title">
    <w:name w:val="Title"/>
    <w:basedOn w:val="Normal"/>
    <w:next w:val="Normal"/>
    <w:link w:val="TitleChar"/>
    <w:uiPriority w:val="10"/>
    <w:qFormat/>
    <w:rsid w:val="004370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70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3702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370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37021"/>
    <w:pPr>
      <w:spacing w:before="160"/>
      <w:jc w:val="center"/>
    </w:pPr>
    <w:rPr>
      <w:i/>
      <w:iCs/>
      <w:color w:val="404040" w:themeColor="text1" w:themeTint="BF"/>
    </w:rPr>
  </w:style>
  <w:style w:type="character" w:customStyle="1" w:styleId="QuoteChar">
    <w:name w:val="Quote Char"/>
    <w:basedOn w:val="DefaultParagraphFont"/>
    <w:link w:val="Quote"/>
    <w:uiPriority w:val="29"/>
    <w:rsid w:val="00437021"/>
    <w:rPr>
      <w:i/>
      <w:iCs/>
      <w:color w:val="404040" w:themeColor="text1" w:themeTint="BF"/>
    </w:rPr>
  </w:style>
  <w:style w:type="paragraph" w:styleId="ListParagraph">
    <w:name w:val="List Paragraph"/>
    <w:basedOn w:val="Normal"/>
    <w:uiPriority w:val="34"/>
    <w:qFormat/>
    <w:rsid w:val="00437021"/>
    <w:pPr>
      <w:ind w:left="720"/>
      <w:contextualSpacing/>
    </w:pPr>
  </w:style>
  <w:style w:type="character" w:styleId="IntenseEmphasis">
    <w:name w:val="Intense Emphasis"/>
    <w:basedOn w:val="DefaultParagraphFont"/>
    <w:uiPriority w:val="21"/>
    <w:qFormat/>
    <w:rsid w:val="00437021"/>
    <w:rPr>
      <w:i/>
      <w:iCs/>
      <w:color w:val="0F4761" w:themeColor="accent1" w:themeShade="BF"/>
    </w:rPr>
  </w:style>
  <w:style w:type="paragraph" w:styleId="IntenseQuote">
    <w:name w:val="Intense Quote"/>
    <w:basedOn w:val="Normal"/>
    <w:next w:val="Normal"/>
    <w:link w:val="IntenseQuoteChar"/>
    <w:uiPriority w:val="30"/>
    <w:qFormat/>
    <w:rsid w:val="004370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37021"/>
    <w:rPr>
      <w:i/>
      <w:iCs/>
      <w:color w:val="0F4761" w:themeColor="accent1" w:themeShade="BF"/>
    </w:rPr>
  </w:style>
  <w:style w:type="character" w:styleId="IntenseReference">
    <w:name w:val="Intense Reference"/>
    <w:basedOn w:val="DefaultParagraphFont"/>
    <w:uiPriority w:val="32"/>
    <w:qFormat/>
    <w:rsid w:val="00437021"/>
    <w:rPr>
      <w:b/>
      <w:bCs/>
      <w:smallCaps/>
      <w:color w:val="0F4761" w:themeColor="accent1" w:themeShade="BF"/>
      <w:spacing w:val="5"/>
    </w:rPr>
  </w:style>
  <w:style w:type="character" w:styleId="Hyperlink">
    <w:name w:val="Hyperlink"/>
    <w:basedOn w:val="DefaultParagraphFont"/>
    <w:uiPriority w:val="99"/>
    <w:unhideWhenUsed/>
    <w:rsid w:val="007C3366"/>
    <w:rPr>
      <w:color w:val="467886" w:themeColor="hyperlink"/>
      <w:u w:val="single"/>
    </w:rPr>
  </w:style>
  <w:style w:type="character" w:styleId="UnresolvedMention">
    <w:name w:val="Unresolved Mention"/>
    <w:basedOn w:val="DefaultParagraphFont"/>
    <w:uiPriority w:val="99"/>
    <w:semiHidden/>
    <w:unhideWhenUsed/>
    <w:rsid w:val="007C33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rldefense.proofpoint.com/v2/url?u=https-3A__twitter.com_RetailCouncil&amp;d=DwMGaQ&amp;c=euGZstcaTDllvimEN8b7jXrwqOf-v5A_CdpgnVfiiMM&amp;r=ySTnHZuHLS23Q8haTZkPG10rAsZISiIRfzTXpVyy65E&amp;m=_Xn_hG7QIbHdmUhNCegtOOvcDQFUOL7nfEzrVWK6znZwdXxBPSKfvG8VsB1hi_eU&amp;s=G90I1ImLgHhM23e78jIMgK5639jltb5F9BFECuDjewY&amp;e=" TargetMode="External"/><Relationship Id="rId3" Type="http://schemas.openxmlformats.org/officeDocument/2006/relationships/settings" Target="settings.xml"/><Relationship Id="rId7" Type="http://schemas.openxmlformats.org/officeDocument/2006/relationships/hyperlink" Target="https://urldefense.proofpoint.com/v2/url?u=https-3A__www.retailcouncil.org_&amp;d=DwMGaQ&amp;c=euGZstcaTDllvimEN8b7jXrwqOf-v5A_CdpgnVfiiMM&amp;r=ySTnHZuHLS23Q8haTZkPG10rAsZISiIRfzTXpVyy65E&amp;m=_Xn_hG7QIbHdmUhNCegtOOvcDQFUOL7nfEzrVWK6znZwdXxBPSKfvG8VsB1hi_eU&amp;s=7tk-KPTVMPvfEXACLBAbGRlNT_ngwkeQwC8Xrtf5kxM&am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arolina.Aviles@novascotia.ca" TargetMode="External"/><Relationship Id="rId11" Type="http://schemas.openxmlformats.org/officeDocument/2006/relationships/fontTable" Target="fontTable.xml"/><Relationship Id="rId5" Type="http://schemas.openxmlformats.org/officeDocument/2006/relationships/hyperlink" Target="mailto:Carolina.Aviles@novascotia.ca" TargetMode="External"/><Relationship Id="rId10" Type="http://schemas.openxmlformats.org/officeDocument/2006/relationships/hyperlink" Target="https://urldefense.proofpoint.com/v2/url?u=https-3A__www.linkedin.com_company_retailcouncil_&amp;d=DwMGaQ&amp;c=euGZstcaTDllvimEN8b7jXrwqOf-v5A_CdpgnVfiiMM&amp;r=ySTnHZuHLS23Q8haTZkPG10rAsZISiIRfzTXpVyy65E&amp;m=_Xn_hG7QIbHdmUhNCegtOOvcDQFUOL7nfEzrVWK6znZwdXxBPSKfvG8VsB1hi_eU&amp;s=ORdwjmXJz2wvXEA92tHE3Vm1Odbw4_-AsH6YQduLFdY&amp;e=" TargetMode="External"/><Relationship Id="rId4" Type="http://schemas.openxmlformats.org/officeDocument/2006/relationships/webSettings" Target="webSettings.xml"/><Relationship Id="rId9" Type="http://schemas.openxmlformats.org/officeDocument/2006/relationships/hyperlink" Target="https://urldefense.proofpoint.com/v2/url?u=https-3A__www.facebook.com_retailcouncil&amp;d=DwMGaQ&amp;c=euGZstcaTDllvimEN8b7jXrwqOf-v5A_CdpgnVfiiMM&amp;r=ySTnHZuHLS23Q8haTZkPG10rAsZISiIRfzTXpVyy65E&amp;m=_Xn_hG7QIbHdmUhNCegtOOvcDQFUOL7nfEzrVWK6znZwdXxBPSKfvG8VsB1hi_eU&amp;s=P7hmO2Mk61JfuSseJFTyF7LbGeqlvswBsnwcdr94_PQ&am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795</Words>
  <Characters>4537</Characters>
  <Application>Microsoft Office Word</Application>
  <DocSecurity>0</DocSecurity>
  <Lines>37</Lines>
  <Paragraphs>10</Paragraphs>
  <ScaleCrop>false</ScaleCrop>
  <Company/>
  <LinksUpToDate>false</LinksUpToDate>
  <CharactersWithSpaces>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2026-01-16T10:41:00Z</dcterms:created>
  <dcterms:modified xsi:type="dcterms:W3CDTF">2026-01-16T10:43:00Z</dcterms:modified>
</cp:coreProperties>
</file>