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7127DDE" w14:textId="130BEF9B" w:rsidR="00E03184" w:rsidRPr="00B0563D" w:rsidRDefault="00B0563D">
      <w:pPr>
        <w:rPr>
          <w:b/>
          <w:bCs/>
          <w:u w:val="single"/>
        </w:rPr>
      </w:pPr>
      <w:r w:rsidRPr="00B0563D">
        <w:rPr>
          <w:b/>
          <w:bCs/>
          <w:u w:val="single"/>
        </w:rPr>
        <w:t>Update on Link Nova Scotia Act Regulations</w:t>
      </w:r>
    </w:p>
    <w:p w14:paraId="0E5B44B6" w14:textId="3033EA57" w:rsidR="00E03184" w:rsidRDefault="00E03184" w:rsidP="00E03184">
      <w:r w:rsidRPr="00E03184">
        <w:t xml:space="preserve">With the passing of the </w:t>
      </w:r>
      <w:hyperlink r:id="rId5" w:history="1">
        <w:r w:rsidRPr="005B3118">
          <w:rPr>
            <w:rStyle w:val="Hyperlink"/>
          </w:rPr>
          <w:t>Link Nova Scotia Act</w:t>
        </w:r>
      </w:hyperlink>
      <w:r>
        <w:t xml:space="preserve"> (Bill 24)</w:t>
      </w:r>
      <w:r w:rsidR="00844470">
        <w:t xml:space="preserve"> in Spring 2025</w:t>
      </w:r>
      <w:r w:rsidRPr="00E03184">
        <w:t>, the Minister of Public Works has order-making power to order a municipality to build, change, or remove transportation infrastructure within the municipality, or to do anything that would be necessary in the interest of safe, efficient and coordinated movement of people and goods.</w:t>
      </w:r>
    </w:p>
    <w:p w14:paraId="36BA7C41" w14:textId="4957E3EE" w:rsidR="009362D1" w:rsidRPr="00E03184" w:rsidRDefault="009362D1" w:rsidP="00E03184">
      <w:r>
        <w:t>NSFM responded to the creation of these ministerial powers</w:t>
      </w:r>
      <w:r w:rsidR="003321DD">
        <w:t xml:space="preserve"> </w:t>
      </w:r>
      <w:r w:rsidR="003C003C">
        <w:t>on behalf of members. As a result, NSFM</w:t>
      </w:r>
      <w:r w:rsidR="003321DD">
        <w:t xml:space="preserve"> succeeded in securing a commitment to a collaborative approach </w:t>
      </w:r>
      <w:r w:rsidR="003C003C">
        <w:t>and apportioning costs of ordered work in an agreeable way</w:t>
      </w:r>
      <w:r w:rsidR="00353FBE">
        <w:t>.</w:t>
      </w:r>
      <w:r w:rsidR="00862FE8">
        <w:t xml:space="preserve"> These commitments can be found in sections 1A </w:t>
      </w:r>
      <w:r w:rsidR="00FE6929">
        <w:t>(b)</w:t>
      </w:r>
      <w:r w:rsidR="00737EE3">
        <w:t xml:space="preserve">, 7 (4), and 8 of the Act. </w:t>
      </w:r>
    </w:p>
    <w:p w14:paraId="5E67A427" w14:textId="471ED2B9" w:rsidR="00E03184" w:rsidRPr="00E03184" w:rsidRDefault="00E03184" w:rsidP="00E03184">
      <w:r w:rsidRPr="00E03184">
        <w:t>To ensure clarity, fairness, and accountability, regulations have been developed that must be considered when using Ministerial order-making powers under the Act.</w:t>
      </w:r>
    </w:p>
    <w:p w14:paraId="45141247" w14:textId="5837DF67" w:rsidR="00E03184" w:rsidRDefault="005E02A7">
      <w:r>
        <w:t xml:space="preserve">NSFM is </w:t>
      </w:r>
      <w:r w:rsidR="00414E3C">
        <w:t xml:space="preserve">pleased </w:t>
      </w:r>
      <w:r>
        <w:t>to see that consultation with municipalities continues to be a explicit part of th</w:t>
      </w:r>
      <w:r w:rsidR="00EA360D">
        <w:t>e</w:t>
      </w:r>
      <w:r w:rsidR="00761205">
        <w:t xml:space="preserve"> Province’s approach</w:t>
      </w:r>
      <w:r>
        <w:t xml:space="preserve"> </w:t>
      </w:r>
      <w:r w:rsidR="00761205">
        <w:t>to</w:t>
      </w:r>
      <w:r w:rsidR="000D0FC2">
        <w:t xml:space="preserve"> advancing the </w:t>
      </w:r>
      <w:hyperlink r:id="rId6" w:history="1">
        <w:r w:rsidR="000D0FC2" w:rsidRPr="000D0FC2">
          <w:rPr>
            <w:rStyle w:val="Hyperlink"/>
          </w:rPr>
          <w:t>Regional Transportation Plan</w:t>
        </w:r>
      </w:hyperlink>
      <w:r w:rsidR="000D0FC2">
        <w:t xml:space="preserve">. </w:t>
      </w:r>
    </w:p>
    <w:p w14:paraId="1FD2526B" w14:textId="63A29D9A" w:rsidR="00737EE3" w:rsidRDefault="00415C9D">
      <w:r>
        <w:t>Under these regulations, which are no</w:t>
      </w:r>
      <w:r w:rsidR="00890F8E">
        <w:t>w</w:t>
      </w:r>
      <w:r>
        <w:t xml:space="preserve"> in fo</w:t>
      </w:r>
      <w:r w:rsidR="00AA2A28">
        <w:t xml:space="preserve">rce, the Minister must consider the following </w:t>
      </w:r>
      <w:r w:rsidR="00BB63EA">
        <w:t xml:space="preserve">criteria </w:t>
      </w:r>
      <w:r w:rsidR="00AA2A28">
        <w:t>in issuing an order under the Act</w:t>
      </w:r>
      <w:r w:rsidR="00841DF7">
        <w:t>:</w:t>
      </w:r>
    </w:p>
    <w:p w14:paraId="5F1A59E4" w14:textId="3B1AF365" w:rsidR="00890F8E" w:rsidRDefault="00890F8E" w:rsidP="00890F8E">
      <w:pPr>
        <w:pStyle w:val="ListParagraph"/>
        <w:numPr>
          <w:ilvl w:val="0"/>
          <w:numId w:val="1"/>
        </w:numPr>
        <w:ind w:left="760" w:hanging="357"/>
        <w:contextualSpacing w:val="0"/>
      </w:pPr>
      <w:r w:rsidRPr="00890F8E">
        <w:t>whether discussions with the municipality have occurred to identify mutually beneficial solutions;</w:t>
      </w:r>
      <w:r w:rsidR="00414E3C">
        <w:t xml:space="preserve"> and,</w:t>
      </w:r>
    </w:p>
    <w:p w14:paraId="4CC71044" w14:textId="4FCE689B" w:rsidR="00890F8E" w:rsidRPr="00890F8E" w:rsidRDefault="00890F8E" w:rsidP="00890F8E">
      <w:pPr>
        <w:pStyle w:val="ListParagraph"/>
        <w:numPr>
          <w:ilvl w:val="0"/>
          <w:numId w:val="1"/>
        </w:numPr>
      </w:pPr>
      <w:r w:rsidRPr="00890F8E">
        <w:t>the potential impact on the municipality’s budget.</w:t>
      </w:r>
    </w:p>
    <w:p w14:paraId="7BC822A1" w14:textId="674CECBB" w:rsidR="009935FA" w:rsidRDefault="00890F8E">
      <w:r w:rsidRPr="00890F8E">
        <w:t xml:space="preserve">If the Minister chooses to issue an order, written notice will be given to the municipality and key criteria or factors in the decision </w:t>
      </w:r>
      <w:r w:rsidR="00414E3C">
        <w:t xml:space="preserve">will be </w:t>
      </w:r>
      <w:r w:rsidRPr="00890F8E">
        <w:t>identified.</w:t>
      </w:r>
    </w:p>
    <w:p w14:paraId="4F63CD72" w14:textId="26F802C3" w:rsidR="009935FA" w:rsidRPr="00350B30" w:rsidRDefault="00841DF7" w:rsidP="009935FA">
      <w:r>
        <w:t xml:space="preserve">These are just two of ten important criteria </w:t>
      </w:r>
      <w:r w:rsidR="001B7EEE">
        <w:t xml:space="preserve">that the Minister must consider. </w:t>
      </w:r>
      <w:r w:rsidR="009935FA" w:rsidRPr="00350B30">
        <w:t xml:space="preserve">You can find the </w:t>
      </w:r>
      <w:r w:rsidR="009B70B1">
        <w:t xml:space="preserve">full list of </w:t>
      </w:r>
      <w:r w:rsidR="009935FA" w:rsidRPr="00350B30">
        <w:t>regulations here: </w:t>
      </w:r>
      <w:hyperlink r:id="rId7" w:tooltip="https://urldefense.proofpoint.com/v2/url?u=https-3A__linknovascotia.ca_projects_bill-2D24-2Dregulations_&amp;d=DwMFAg&amp;c=euGZstcaTDllvimEN8b7jXrwqOf-v5A_CdpgnVfiiMM&amp;r=ySTnHZuHLS23Q8haTZkPG10rAsZISiIRfzTXpVyy65E&amp;m=kqEHMZJtf-uNpdgn5A4KwG_XIJCAlIM1Xki3aPdnyEhYgxd9JTD6" w:history="1">
        <w:r w:rsidR="009935FA" w:rsidRPr="00350B30">
          <w:rPr>
            <w:rStyle w:val="Hyperlink"/>
          </w:rPr>
          <w:t>Bill 24 Regulations - Link Nova Scotia</w:t>
        </w:r>
      </w:hyperlink>
    </w:p>
    <w:p w14:paraId="48B7D499" w14:textId="77777777" w:rsidR="009935FA" w:rsidRDefault="009935FA"/>
    <w:p w14:paraId="540312EB" w14:textId="77777777" w:rsidR="00B0563D" w:rsidRDefault="00B0563D"/>
    <w:sectPr w:rsidR="00B0563D">
      <w:pgSz w:w="12240" w:h="15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30277FB4"/>
    <w:multiLevelType w:val="hybridMultilevel"/>
    <w:tmpl w:val="FDECE180"/>
    <w:lvl w:ilvl="0" w:tplc="10090001">
      <w:start w:val="1"/>
      <w:numFmt w:val="bullet"/>
      <w:lvlText w:val=""/>
      <w:lvlJc w:val="left"/>
      <w:pPr>
        <w:ind w:left="765" w:hanging="360"/>
      </w:pPr>
      <w:rPr>
        <w:rFonts w:ascii="Symbol" w:hAnsi="Symbol" w:hint="default"/>
      </w:rPr>
    </w:lvl>
    <w:lvl w:ilvl="1" w:tplc="10090003" w:tentative="1">
      <w:start w:val="1"/>
      <w:numFmt w:val="bullet"/>
      <w:lvlText w:val="o"/>
      <w:lvlJc w:val="left"/>
      <w:pPr>
        <w:ind w:left="1485" w:hanging="360"/>
      </w:pPr>
      <w:rPr>
        <w:rFonts w:ascii="Courier New" w:hAnsi="Courier New" w:cs="Courier New" w:hint="default"/>
      </w:rPr>
    </w:lvl>
    <w:lvl w:ilvl="2" w:tplc="10090005" w:tentative="1">
      <w:start w:val="1"/>
      <w:numFmt w:val="bullet"/>
      <w:lvlText w:val=""/>
      <w:lvlJc w:val="left"/>
      <w:pPr>
        <w:ind w:left="2205" w:hanging="360"/>
      </w:pPr>
      <w:rPr>
        <w:rFonts w:ascii="Wingdings" w:hAnsi="Wingdings" w:hint="default"/>
      </w:rPr>
    </w:lvl>
    <w:lvl w:ilvl="3" w:tplc="10090001" w:tentative="1">
      <w:start w:val="1"/>
      <w:numFmt w:val="bullet"/>
      <w:lvlText w:val=""/>
      <w:lvlJc w:val="left"/>
      <w:pPr>
        <w:ind w:left="2925" w:hanging="360"/>
      </w:pPr>
      <w:rPr>
        <w:rFonts w:ascii="Symbol" w:hAnsi="Symbol" w:hint="default"/>
      </w:rPr>
    </w:lvl>
    <w:lvl w:ilvl="4" w:tplc="10090003" w:tentative="1">
      <w:start w:val="1"/>
      <w:numFmt w:val="bullet"/>
      <w:lvlText w:val="o"/>
      <w:lvlJc w:val="left"/>
      <w:pPr>
        <w:ind w:left="3645" w:hanging="360"/>
      </w:pPr>
      <w:rPr>
        <w:rFonts w:ascii="Courier New" w:hAnsi="Courier New" w:cs="Courier New" w:hint="default"/>
      </w:rPr>
    </w:lvl>
    <w:lvl w:ilvl="5" w:tplc="10090005" w:tentative="1">
      <w:start w:val="1"/>
      <w:numFmt w:val="bullet"/>
      <w:lvlText w:val=""/>
      <w:lvlJc w:val="left"/>
      <w:pPr>
        <w:ind w:left="4365" w:hanging="360"/>
      </w:pPr>
      <w:rPr>
        <w:rFonts w:ascii="Wingdings" w:hAnsi="Wingdings" w:hint="default"/>
      </w:rPr>
    </w:lvl>
    <w:lvl w:ilvl="6" w:tplc="10090001" w:tentative="1">
      <w:start w:val="1"/>
      <w:numFmt w:val="bullet"/>
      <w:lvlText w:val=""/>
      <w:lvlJc w:val="left"/>
      <w:pPr>
        <w:ind w:left="5085" w:hanging="360"/>
      </w:pPr>
      <w:rPr>
        <w:rFonts w:ascii="Symbol" w:hAnsi="Symbol" w:hint="default"/>
      </w:rPr>
    </w:lvl>
    <w:lvl w:ilvl="7" w:tplc="10090003" w:tentative="1">
      <w:start w:val="1"/>
      <w:numFmt w:val="bullet"/>
      <w:lvlText w:val="o"/>
      <w:lvlJc w:val="left"/>
      <w:pPr>
        <w:ind w:left="5805" w:hanging="360"/>
      </w:pPr>
      <w:rPr>
        <w:rFonts w:ascii="Courier New" w:hAnsi="Courier New" w:cs="Courier New" w:hint="default"/>
      </w:rPr>
    </w:lvl>
    <w:lvl w:ilvl="8" w:tplc="10090005" w:tentative="1">
      <w:start w:val="1"/>
      <w:numFmt w:val="bullet"/>
      <w:lvlText w:val=""/>
      <w:lvlJc w:val="left"/>
      <w:pPr>
        <w:ind w:left="6525" w:hanging="360"/>
      </w:pPr>
      <w:rPr>
        <w:rFonts w:ascii="Wingdings" w:hAnsi="Wingdings" w:hint="default"/>
      </w:rPr>
    </w:lvl>
  </w:abstractNum>
  <w:num w:numId="1" w16cid:durableId="4557170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50B30"/>
    <w:rsid w:val="00017225"/>
    <w:rsid w:val="000D0FC2"/>
    <w:rsid w:val="00192D2F"/>
    <w:rsid w:val="001B7EEE"/>
    <w:rsid w:val="00232B13"/>
    <w:rsid w:val="00313F93"/>
    <w:rsid w:val="003321DD"/>
    <w:rsid w:val="00350B30"/>
    <w:rsid w:val="00353FBE"/>
    <w:rsid w:val="00383517"/>
    <w:rsid w:val="003878EE"/>
    <w:rsid w:val="003C003C"/>
    <w:rsid w:val="00414E3C"/>
    <w:rsid w:val="00415C9D"/>
    <w:rsid w:val="004A7A30"/>
    <w:rsid w:val="005B3118"/>
    <w:rsid w:val="005E02A7"/>
    <w:rsid w:val="00701EB7"/>
    <w:rsid w:val="00737EE3"/>
    <w:rsid w:val="00761205"/>
    <w:rsid w:val="007A313C"/>
    <w:rsid w:val="0080196C"/>
    <w:rsid w:val="00841DF7"/>
    <w:rsid w:val="00844470"/>
    <w:rsid w:val="008625E1"/>
    <w:rsid w:val="00862FE8"/>
    <w:rsid w:val="00890F8E"/>
    <w:rsid w:val="009362D1"/>
    <w:rsid w:val="00964FF6"/>
    <w:rsid w:val="009935FA"/>
    <w:rsid w:val="009B320A"/>
    <w:rsid w:val="009B70B1"/>
    <w:rsid w:val="00AA2A28"/>
    <w:rsid w:val="00B0563D"/>
    <w:rsid w:val="00B9309D"/>
    <w:rsid w:val="00BB323A"/>
    <w:rsid w:val="00BB63EA"/>
    <w:rsid w:val="00C5760B"/>
    <w:rsid w:val="00C9167D"/>
    <w:rsid w:val="00D16A42"/>
    <w:rsid w:val="00D25243"/>
    <w:rsid w:val="00D61FF1"/>
    <w:rsid w:val="00DE7ACC"/>
    <w:rsid w:val="00E03184"/>
    <w:rsid w:val="00EA360D"/>
    <w:rsid w:val="00F5276C"/>
    <w:rsid w:val="00FA6F4B"/>
    <w:rsid w:val="00FE6929"/>
  </w:rsids>
  <m:mathPr>
    <m:mathFont m:val="Cambria Math"/>
    <m:brkBin m:val="before"/>
    <m:brkBinSub m:val="--"/>
    <m:smallFrac m:val="0"/>
    <m:dispDef/>
    <m:lMargin m:val="0"/>
    <m:rMargin m:val="0"/>
    <m:defJc m:val="centerGroup"/>
    <m:wrapIndent m:val="1440"/>
    <m:intLim m:val="subSup"/>
    <m:naryLim m:val="undOvr"/>
  </m:mathPr>
  <w:themeFontLang w:val="en-C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E910BAC"/>
  <w15:chartTrackingRefBased/>
  <w15:docId w15:val="{1A70D74D-E5B7-4C66-BA8E-97795A52E08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n-CA"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350B30"/>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350B30"/>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350B30"/>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350B30"/>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350B30"/>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350B30"/>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350B30"/>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350B30"/>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350B30"/>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350B30"/>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350B30"/>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350B30"/>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350B30"/>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350B30"/>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350B30"/>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350B30"/>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350B30"/>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350B30"/>
    <w:rPr>
      <w:rFonts w:eastAsiaTheme="majorEastAsia" w:cstheme="majorBidi"/>
      <w:color w:val="272727" w:themeColor="text1" w:themeTint="D8"/>
    </w:rPr>
  </w:style>
  <w:style w:type="paragraph" w:styleId="Title">
    <w:name w:val="Title"/>
    <w:basedOn w:val="Normal"/>
    <w:next w:val="Normal"/>
    <w:link w:val="TitleChar"/>
    <w:uiPriority w:val="10"/>
    <w:qFormat/>
    <w:rsid w:val="00350B30"/>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350B30"/>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350B30"/>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350B30"/>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350B30"/>
    <w:pPr>
      <w:spacing w:before="160"/>
      <w:jc w:val="center"/>
    </w:pPr>
    <w:rPr>
      <w:i/>
      <w:iCs/>
      <w:color w:val="404040" w:themeColor="text1" w:themeTint="BF"/>
    </w:rPr>
  </w:style>
  <w:style w:type="character" w:customStyle="1" w:styleId="QuoteChar">
    <w:name w:val="Quote Char"/>
    <w:basedOn w:val="DefaultParagraphFont"/>
    <w:link w:val="Quote"/>
    <w:uiPriority w:val="29"/>
    <w:rsid w:val="00350B30"/>
    <w:rPr>
      <w:i/>
      <w:iCs/>
      <w:color w:val="404040" w:themeColor="text1" w:themeTint="BF"/>
    </w:rPr>
  </w:style>
  <w:style w:type="paragraph" w:styleId="ListParagraph">
    <w:name w:val="List Paragraph"/>
    <w:basedOn w:val="Normal"/>
    <w:uiPriority w:val="34"/>
    <w:qFormat/>
    <w:rsid w:val="00350B30"/>
    <w:pPr>
      <w:ind w:left="720"/>
      <w:contextualSpacing/>
    </w:pPr>
  </w:style>
  <w:style w:type="character" w:styleId="IntenseEmphasis">
    <w:name w:val="Intense Emphasis"/>
    <w:basedOn w:val="DefaultParagraphFont"/>
    <w:uiPriority w:val="21"/>
    <w:qFormat/>
    <w:rsid w:val="00350B30"/>
    <w:rPr>
      <w:i/>
      <w:iCs/>
      <w:color w:val="0F4761" w:themeColor="accent1" w:themeShade="BF"/>
    </w:rPr>
  </w:style>
  <w:style w:type="paragraph" w:styleId="IntenseQuote">
    <w:name w:val="Intense Quote"/>
    <w:basedOn w:val="Normal"/>
    <w:next w:val="Normal"/>
    <w:link w:val="IntenseQuoteChar"/>
    <w:uiPriority w:val="30"/>
    <w:qFormat/>
    <w:rsid w:val="00350B30"/>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350B30"/>
    <w:rPr>
      <w:i/>
      <w:iCs/>
      <w:color w:val="0F4761" w:themeColor="accent1" w:themeShade="BF"/>
    </w:rPr>
  </w:style>
  <w:style w:type="character" w:styleId="IntenseReference">
    <w:name w:val="Intense Reference"/>
    <w:basedOn w:val="DefaultParagraphFont"/>
    <w:uiPriority w:val="32"/>
    <w:qFormat/>
    <w:rsid w:val="00350B30"/>
    <w:rPr>
      <w:b/>
      <w:bCs/>
      <w:smallCaps/>
      <w:color w:val="0F4761" w:themeColor="accent1" w:themeShade="BF"/>
      <w:spacing w:val="5"/>
    </w:rPr>
  </w:style>
  <w:style w:type="character" w:styleId="Hyperlink">
    <w:name w:val="Hyperlink"/>
    <w:basedOn w:val="DefaultParagraphFont"/>
    <w:uiPriority w:val="99"/>
    <w:unhideWhenUsed/>
    <w:rsid w:val="00350B30"/>
    <w:rPr>
      <w:color w:val="467886" w:themeColor="hyperlink"/>
      <w:u w:val="single"/>
    </w:rPr>
  </w:style>
  <w:style w:type="character" w:styleId="UnresolvedMention">
    <w:name w:val="Unresolved Mention"/>
    <w:basedOn w:val="DefaultParagraphFont"/>
    <w:uiPriority w:val="99"/>
    <w:semiHidden/>
    <w:unhideWhenUsed/>
    <w:rsid w:val="00350B30"/>
    <w:rPr>
      <w:color w:val="605E5C"/>
      <w:shd w:val="clear" w:color="auto" w:fill="E1DFDD"/>
    </w:rPr>
  </w:style>
  <w:style w:type="character" w:styleId="FollowedHyperlink">
    <w:name w:val="FollowedHyperlink"/>
    <w:basedOn w:val="DefaultParagraphFont"/>
    <w:uiPriority w:val="99"/>
    <w:semiHidden/>
    <w:unhideWhenUsed/>
    <w:rsid w:val="00844470"/>
    <w:rPr>
      <w:color w:val="96607D"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s://urldefense.proofpoint.com/v2/url?u=https-3A__linknovascotia.ca_projects_bill-2D24-2Dregulations_&amp;d=DwMFAg&amp;c=euGZstcaTDllvimEN8b7jXrwqOf-v5A_CdpgnVfiiMM&amp;r=ySTnHZuHLS23Q8haTZkPG10rAsZISiIRfzTXpVyy65E&amp;m=kqEHMZJtf-uNpdgn5A4KwG_XIJCAlIM1Xki3aPdnyEhYgxd9JTD6oFmd2YFivPxQ&amp;s=zislJv2JRjX_aWnfdXnv2zdDJpXZ08cfrgQ_tHipZXc&amp;e="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linknovascotia.ca/regional-transportation-plan/" TargetMode="External"/><Relationship Id="rId5" Type="http://schemas.openxmlformats.org/officeDocument/2006/relationships/hyperlink" Target="https://nslegislature.ca/sites/default/files/legc/PDFs/annual%20statutes/2025%20Spring/c010.pdf" TargetMode="Externa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12</TotalTime>
  <Pages>1</Pages>
  <Words>361</Words>
  <Characters>2062</Characters>
  <Application>Microsoft Office Word</Application>
  <DocSecurity>0</DocSecurity>
  <Lines>17</Lines>
  <Paragraphs>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2419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Wesley Petite</dc:creator>
  <cp:keywords/>
  <dc:description/>
  <cp:lastModifiedBy>Ian Morrison</cp:lastModifiedBy>
  <cp:revision>6</cp:revision>
  <dcterms:created xsi:type="dcterms:W3CDTF">2026-01-28T21:08:00Z</dcterms:created>
  <dcterms:modified xsi:type="dcterms:W3CDTF">2026-01-29T12:21:00Z</dcterms:modified>
</cp:coreProperties>
</file>